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B28B" w14:textId="329A4435" w:rsidR="00C835F8" w:rsidRPr="00864FEA" w:rsidRDefault="00C835F8" w:rsidP="00C835F8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 w:rsidRPr="00864FE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Please do not make any offers of employment in writing </w:t>
      </w:r>
      <w:r w:rsidR="004E0FC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(to include emails and texts) </w:t>
      </w:r>
      <w:r w:rsidRPr="00864FE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other than th</w:t>
      </w:r>
      <w:r w:rsidR="00C424D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e</w:t>
      </w:r>
      <w:r w:rsidRPr="00864FEA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official offer letter that has been signed by the PD and GME Director</w:t>
      </w:r>
    </w:p>
    <w:p w14:paraId="746D1382" w14:textId="77777777" w:rsidR="00C835F8" w:rsidRDefault="00C835F8">
      <w:pPr>
        <w:rPr>
          <w:rFonts w:ascii="Times New Roman" w:hAnsi="Times New Roman" w:cs="Times New Roman"/>
          <w:b/>
          <w:highlight w:val="yellow"/>
        </w:rPr>
      </w:pPr>
    </w:p>
    <w:p w14:paraId="43102658" w14:textId="0ED1012E" w:rsidR="004F224C" w:rsidRPr="004F224C" w:rsidRDefault="00886EEF" w:rsidP="00D06FA5">
      <w:pPr>
        <w:jc w:val="center"/>
        <w:rPr>
          <w:rFonts w:ascii="Times New Roman" w:hAnsi="Times New Roman" w:cs="Times New Roman"/>
          <w:b/>
        </w:rPr>
      </w:pPr>
      <w:r w:rsidRPr="004F224C">
        <w:rPr>
          <w:rFonts w:ascii="Times New Roman" w:hAnsi="Times New Roman" w:cs="Times New Roman"/>
          <w:b/>
        </w:rPr>
        <w:t>Offer letters will not be executed more than 2 years prior to start date</w:t>
      </w:r>
    </w:p>
    <w:p w14:paraId="0A9126AB" w14:textId="02A4FED6" w:rsidR="00E40CE4" w:rsidRPr="004F224C" w:rsidRDefault="002D7C60" w:rsidP="00D06FA5">
      <w:pPr>
        <w:jc w:val="center"/>
        <w:rPr>
          <w:rFonts w:ascii="Times New Roman" w:hAnsi="Times New Roman" w:cs="Times New Roman"/>
          <w:b/>
        </w:rPr>
      </w:pPr>
      <w:r w:rsidRPr="004F224C">
        <w:rPr>
          <w:rFonts w:ascii="Times New Roman" w:hAnsi="Times New Roman" w:cs="Times New Roman"/>
          <w:b/>
        </w:rPr>
        <w:t>Please</w:t>
      </w:r>
      <w:r w:rsidR="00D06FA5">
        <w:rPr>
          <w:rFonts w:ascii="Times New Roman" w:hAnsi="Times New Roman" w:cs="Times New Roman"/>
          <w:b/>
        </w:rPr>
        <w:t xml:space="preserve"> send</w:t>
      </w:r>
      <w:r w:rsidRPr="004F224C">
        <w:rPr>
          <w:rFonts w:ascii="Times New Roman" w:hAnsi="Times New Roman" w:cs="Times New Roman"/>
          <w:b/>
        </w:rPr>
        <w:t xml:space="preserve"> </w:t>
      </w:r>
      <w:r w:rsidR="00803E5D" w:rsidRPr="004F224C">
        <w:rPr>
          <w:rFonts w:ascii="Times New Roman" w:hAnsi="Times New Roman" w:cs="Times New Roman"/>
          <w:b/>
        </w:rPr>
        <w:t xml:space="preserve">supporting documents </w:t>
      </w:r>
      <w:r w:rsidRPr="004F224C">
        <w:rPr>
          <w:rFonts w:ascii="Times New Roman" w:hAnsi="Times New Roman" w:cs="Times New Roman"/>
          <w:b/>
        </w:rPr>
        <w:t xml:space="preserve">to the GME office for approval prior to sending </w:t>
      </w:r>
      <w:r w:rsidR="00D06FA5">
        <w:rPr>
          <w:rFonts w:ascii="Times New Roman" w:hAnsi="Times New Roman" w:cs="Times New Roman"/>
          <w:b/>
        </w:rPr>
        <w:t xml:space="preserve">any offer letter </w:t>
      </w:r>
      <w:r w:rsidRPr="004F224C">
        <w:rPr>
          <w:rFonts w:ascii="Times New Roman" w:hAnsi="Times New Roman" w:cs="Times New Roman"/>
          <w:b/>
        </w:rPr>
        <w:t>to the applicant.</w:t>
      </w:r>
      <w:r w:rsidR="00267D7D" w:rsidRPr="004F224C">
        <w:rPr>
          <w:rFonts w:ascii="Times New Roman" w:hAnsi="Times New Roman" w:cs="Times New Roman"/>
          <w:b/>
        </w:rPr>
        <w:t xml:space="preserve"> An offer letter is not valid until signed off by the director of GME.</w:t>
      </w:r>
    </w:p>
    <w:p w14:paraId="33199480" w14:textId="2E51A879" w:rsidR="00803E5D" w:rsidRPr="004F224C" w:rsidRDefault="00803E5D">
      <w:pPr>
        <w:rPr>
          <w:rFonts w:ascii="Times New Roman" w:hAnsi="Times New Roman" w:cs="Times New Roman"/>
          <w:b/>
        </w:rPr>
      </w:pPr>
      <w:r w:rsidRPr="004F224C">
        <w:rPr>
          <w:rFonts w:ascii="Times New Roman" w:hAnsi="Times New Roman" w:cs="Times New Roman"/>
          <w:b/>
        </w:rPr>
        <w:t>List of supporting documents to send:</w:t>
      </w:r>
    </w:p>
    <w:p w14:paraId="6EDB8A37" w14:textId="4B1D8F3D" w:rsidR="00803E5D" w:rsidRPr="004F224C" w:rsidRDefault="00ED43F2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Three l</w:t>
      </w:r>
      <w:r w:rsidR="00803E5D" w:rsidRPr="004F224C">
        <w:rPr>
          <w:rFonts w:ascii="Times New Roman" w:hAnsi="Times New Roman"/>
        </w:rPr>
        <w:t>etter</w:t>
      </w:r>
      <w:r w:rsidRPr="004F224C">
        <w:rPr>
          <w:rFonts w:ascii="Times New Roman" w:hAnsi="Times New Roman"/>
        </w:rPr>
        <w:t>s</w:t>
      </w:r>
      <w:r w:rsidR="00803E5D" w:rsidRPr="004F224C">
        <w:rPr>
          <w:rFonts w:ascii="Times New Roman" w:hAnsi="Times New Roman"/>
        </w:rPr>
        <w:t xml:space="preserve"> of reference</w:t>
      </w:r>
      <w:r w:rsidR="003A067F" w:rsidRPr="004F224C">
        <w:rPr>
          <w:rFonts w:ascii="Times New Roman" w:hAnsi="Times New Roman"/>
        </w:rPr>
        <w:t xml:space="preserve"> (1 should be from current PD if applicable)</w:t>
      </w:r>
    </w:p>
    <w:p w14:paraId="77525AC9" w14:textId="5836B6A6" w:rsidR="00803E5D" w:rsidRPr="004F224C" w:rsidRDefault="00803E5D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CV</w:t>
      </w:r>
    </w:p>
    <w:p w14:paraId="70539FAB" w14:textId="5464FD2F" w:rsidR="00EC5AAD" w:rsidRPr="004F224C" w:rsidRDefault="00DD6CEB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  <w:b/>
          <w:bCs/>
        </w:rPr>
        <w:t>*</w:t>
      </w:r>
      <w:r w:rsidR="00BF691B" w:rsidRPr="004F224C">
        <w:rPr>
          <w:rFonts w:ascii="Times New Roman" w:hAnsi="Times New Roman"/>
          <w:b/>
          <w:bCs/>
        </w:rPr>
        <w:t>Employment</w:t>
      </w:r>
      <w:r w:rsidR="00EC5AAD" w:rsidRPr="004F224C">
        <w:rPr>
          <w:rFonts w:ascii="Times New Roman" w:hAnsi="Times New Roman"/>
          <w:b/>
          <w:bCs/>
        </w:rPr>
        <w:t xml:space="preserve"> Acknowledgement Form</w:t>
      </w:r>
    </w:p>
    <w:p w14:paraId="2D71C622" w14:textId="3E9407F9" w:rsidR="00803E5D" w:rsidRPr="004F224C" w:rsidRDefault="00803E5D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USMLE/COMLEX Score Reports</w:t>
      </w:r>
    </w:p>
    <w:p w14:paraId="5002B0A6" w14:textId="3EC40351" w:rsidR="00026800" w:rsidRPr="004F224C" w:rsidRDefault="00026800" w:rsidP="00026800">
      <w:pPr>
        <w:pStyle w:val="PlainText"/>
        <w:numPr>
          <w:ilvl w:val="1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Unofficial transcripts are accepted for the offer letter</w:t>
      </w:r>
    </w:p>
    <w:p w14:paraId="00C022BB" w14:textId="3B1E935F" w:rsidR="00026800" w:rsidRPr="004F224C" w:rsidRDefault="00026800" w:rsidP="00026800">
      <w:pPr>
        <w:pStyle w:val="PlainText"/>
        <w:numPr>
          <w:ilvl w:val="1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USF will need official transcripts provided directly by ERAS or USMLE prior to starting training</w:t>
      </w:r>
    </w:p>
    <w:p w14:paraId="5F37A6C9" w14:textId="77777777" w:rsidR="00803E5D" w:rsidRPr="004F224C" w:rsidRDefault="00803E5D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 xml:space="preserve">Current application </w:t>
      </w:r>
    </w:p>
    <w:p w14:paraId="0EC3E0EC" w14:textId="4D61D60F" w:rsidR="00803E5D" w:rsidRPr="004F224C" w:rsidRDefault="00803E5D" w:rsidP="00803E5D">
      <w:pPr>
        <w:pStyle w:val="PlainText"/>
        <w:numPr>
          <w:ilvl w:val="1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The GME</w:t>
      </w:r>
      <w:hyperlink r:id="rId7" w:history="1"/>
      <w:r w:rsidR="0064636D" w:rsidRPr="004F224C">
        <w:rPr>
          <w:rStyle w:val="Hyperlink"/>
          <w:rFonts w:ascii="Times New Roman" w:hAnsi="Times New Roman"/>
          <w:u w:val="none"/>
        </w:rPr>
        <w:t xml:space="preserve"> </w:t>
      </w:r>
      <w:r w:rsidR="0064636D" w:rsidRPr="004F224C">
        <w:rPr>
          <w:rStyle w:val="Hyperlink"/>
          <w:rFonts w:ascii="Times New Roman" w:hAnsi="Times New Roman"/>
          <w:b/>
          <w:bCs/>
          <w:color w:val="auto"/>
          <w:u w:val="none"/>
        </w:rPr>
        <w:t>Application Form</w:t>
      </w:r>
      <w:r w:rsidR="0064636D" w:rsidRPr="004F224C">
        <w:rPr>
          <w:rFonts w:ascii="Times New Roman" w:hAnsi="Times New Roman"/>
        </w:rPr>
        <w:t xml:space="preserve"> </w:t>
      </w:r>
      <w:r w:rsidRPr="004F224C">
        <w:rPr>
          <w:rFonts w:ascii="Times New Roman" w:hAnsi="Times New Roman"/>
        </w:rPr>
        <w:t xml:space="preserve">can be used; or </w:t>
      </w:r>
    </w:p>
    <w:p w14:paraId="00CADC99" w14:textId="23D565BC" w:rsidR="00803E5D" w:rsidRPr="004F224C" w:rsidRDefault="00803E5D" w:rsidP="00803E5D">
      <w:pPr>
        <w:pStyle w:val="PlainText"/>
        <w:numPr>
          <w:ilvl w:val="1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ERAS application</w:t>
      </w:r>
    </w:p>
    <w:p w14:paraId="04D5F089" w14:textId="235C5B68" w:rsidR="00B950AE" w:rsidRPr="00B950AE" w:rsidRDefault="00B950AE" w:rsidP="00803E5D">
      <w:pPr>
        <w:pStyle w:val="PlainText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B950AE">
        <w:rPr>
          <w:rFonts w:ascii="Times New Roman" w:hAnsi="Times New Roman"/>
          <w:b/>
          <w:bCs/>
        </w:rPr>
        <w:t>Pre-Screening Form</w:t>
      </w:r>
    </w:p>
    <w:p w14:paraId="0DB8EC32" w14:textId="54BA2979" w:rsidR="00803E5D" w:rsidRPr="004F224C" w:rsidRDefault="00803E5D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ECFMG certificate (if applicable)</w:t>
      </w:r>
    </w:p>
    <w:p w14:paraId="5E740E13" w14:textId="2EDBB62D" w:rsidR="0003716F" w:rsidRPr="004F224C" w:rsidRDefault="0003716F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MSPE (if available)</w:t>
      </w:r>
    </w:p>
    <w:p w14:paraId="56F92266" w14:textId="6DCAFB20" w:rsidR="000613DF" w:rsidRPr="004F224C" w:rsidRDefault="000613DF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For programs that do not utilize the Match</w:t>
      </w:r>
    </w:p>
    <w:p w14:paraId="1F10EE51" w14:textId="749A9BCC" w:rsidR="000613DF" w:rsidRPr="004F224C" w:rsidRDefault="000613DF" w:rsidP="000613DF">
      <w:pPr>
        <w:pStyle w:val="PlainText"/>
        <w:numPr>
          <w:ilvl w:val="1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Provide the total number of applications received for the position and the total number of people interviewed for the position</w:t>
      </w:r>
    </w:p>
    <w:p w14:paraId="4E56638E" w14:textId="21F6AD05" w:rsidR="004949BE" w:rsidRPr="004F224C" w:rsidRDefault="004949BE" w:rsidP="00803E5D">
      <w:pPr>
        <w:pStyle w:val="PlainText"/>
        <w:numPr>
          <w:ilvl w:val="0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Transfer</w:t>
      </w:r>
    </w:p>
    <w:p w14:paraId="423B1D70" w14:textId="77777777" w:rsidR="004949BE" w:rsidRPr="004F224C" w:rsidRDefault="004949BE" w:rsidP="004949BE">
      <w:pPr>
        <w:pStyle w:val="PlainText"/>
        <w:numPr>
          <w:ilvl w:val="1"/>
          <w:numId w:val="1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Per ACGME - The program must obtain verification of previous educational experiences and a summative competency-based performance evaluation prior to acceptance of a transferring resident, and Milestones evaluations upon matriculation. (Core)</w:t>
      </w:r>
    </w:p>
    <w:p w14:paraId="74FADD61" w14:textId="706A66E0" w:rsidR="004830D0" w:rsidRPr="004F224C" w:rsidRDefault="004949BE" w:rsidP="00D87AD8">
      <w:pPr>
        <w:pStyle w:val="PlainText"/>
        <w:numPr>
          <w:ilvl w:val="1"/>
          <w:numId w:val="1"/>
        </w:numPr>
        <w:rPr>
          <w:rFonts w:ascii="Times New Roman" w:hAnsi="Times New Roman"/>
        </w:rPr>
      </w:pPr>
      <w:proofErr w:type="gramStart"/>
      <w:r w:rsidRPr="004F224C">
        <w:rPr>
          <w:rFonts w:ascii="Times New Roman" w:hAnsi="Times New Roman"/>
        </w:rPr>
        <w:t>Should</w:t>
      </w:r>
      <w:proofErr w:type="gramEnd"/>
      <w:r w:rsidRPr="004F224C">
        <w:rPr>
          <w:rFonts w:ascii="Times New Roman" w:hAnsi="Times New Roman"/>
        </w:rPr>
        <w:t xml:space="preserve"> try to avoid any gaps in training with the transfer (be aware of weekends)</w:t>
      </w:r>
    </w:p>
    <w:p w14:paraId="4FA53FED" w14:textId="77777777" w:rsidR="0064636D" w:rsidRPr="004F224C" w:rsidRDefault="0064636D" w:rsidP="0064636D">
      <w:pPr>
        <w:pStyle w:val="PlainText"/>
        <w:rPr>
          <w:rFonts w:ascii="Times New Roman" w:hAnsi="Times New Roman"/>
        </w:rPr>
      </w:pPr>
    </w:p>
    <w:p w14:paraId="32F1A770" w14:textId="4CAC9425" w:rsidR="0064636D" w:rsidRPr="004F224C" w:rsidRDefault="00B950AE" w:rsidP="0064636D">
      <w:pPr>
        <w:pStyle w:val="PlainText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64636D" w:rsidRPr="004F224C">
        <w:rPr>
          <w:rFonts w:ascii="Times New Roman" w:hAnsi="Times New Roman"/>
        </w:rPr>
        <w:t xml:space="preserve">The </w:t>
      </w:r>
      <w:r w:rsidR="0064636D" w:rsidRPr="004F224C">
        <w:rPr>
          <w:rFonts w:ascii="Times New Roman" w:hAnsi="Times New Roman"/>
          <w:b/>
          <w:bCs/>
        </w:rPr>
        <w:t>Employment Acknowledgement</w:t>
      </w:r>
      <w:r w:rsidR="0064636D" w:rsidRPr="004F224C">
        <w:rPr>
          <w:rFonts w:ascii="Times New Roman" w:hAnsi="Times New Roman"/>
        </w:rPr>
        <w:t xml:space="preserve">, </w:t>
      </w:r>
      <w:r w:rsidR="0064636D" w:rsidRPr="004F224C">
        <w:rPr>
          <w:rFonts w:ascii="Times New Roman" w:hAnsi="Times New Roman"/>
          <w:b/>
          <w:bCs/>
        </w:rPr>
        <w:t>GME Application</w:t>
      </w:r>
      <w:r w:rsidR="0064636D" w:rsidRPr="004F224C">
        <w:rPr>
          <w:rFonts w:ascii="Times New Roman" w:hAnsi="Times New Roman"/>
        </w:rPr>
        <w:t xml:space="preserve">, and the </w:t>
      </w:r>
      <w:r w:rsidR="0064636D" w:rsidRPr="004F224C">
        <w:rPr>
          <w:rFonts w:ascii="Times New Roman" w:hAnsi="Times New Roman"/>
          <w:b/>
          <w:bCs/>
        </w:rPr>
        <w:t>Prescreening forms</w:t>
      </w:r>
      <w:r w:rsidR="0064636D" w:rsidRPr="004F224C">
        <w:rPr>
          <w:rFonts w:ascii="Times New Roman" w:hAnsi="Times New Roman"/>
        </w:rPr>
        <w:t xml:space="preserve"> can be found by clicking </w:t>
      </w:r>
      <w:hyperlink r:id="rId8" w:history="1">
        <w:r w:rsidR="0064636D" w:rsidRPr="004F224C">
          <w:rPr>
            <w:rStyle w:val="Hyperlink"/>
            <w:rFonts w:ascii="Times New Roman" w:hAnsi="Times New Roman"/>
          </w:rPr>
          <w:t>here</w:t>
        </w:r>
      </w:hyperlink>
      <w:r w:rsidR="0064636D" w:rsidRPr="004F224C">
        <w:rPr>
          <w:rFonts w:ascii="Times New Roman" w:hAnsi="Times New Roman"/>
        </w:rPr>
        <w:t>.</w:t>
      </w:r>
    </w:p>
    <w:p w14:paraId="38E9F921" w14:textId="77777777" w:rsidR="005D4567" w:rsidRPr="004F224C" w:rsidRDefault="005D4567" w:rsidP="005D4567">
      <w:pPr>
        <w:pStyle w:val="PlainText"/>
        <w:rPr>
          <w:rFonts w:ascii="Times New Roman" w:hAnsi="Times New Roman"/>
        </w:rPr>
      </w:pPr>
    </w:p>
    <w:p w14:paraId="0E0EA1B3" w14:textId="794965FE" w:rsidR="0017555C" w:rsidRPr="00131F7B" w:rsidRDefault="005D4567" w:rsidP="00B573E5">
      <w:pPr>
        <w:pStyle w:val="PlainText"/>
        <w:numPr>
          <w:ilvl w:val="0"/>
          <w:numId w:val="2"/>
        </w:numPr>
        <w:rPr>
          <w:rFonts w:ascii="Times New Roman" w:hAnsi="Times New Roman"/>
        </w:rPr>
      </w:pPr>
      <w:r w:rsidRPr="004F224C">
        <w:rPr>
          <w:rFonts w:ascii="Times New Roman" w:hAnsi="Times New Roman"/>
        </w:rPr>
        <w:t>For trainees currently at USF, the ECFMG certificate and USMLE/COMLES scores are not needed.  For trainees transitioning to a chief position in the same program, only the following are needed: Updated CV, Employment Acknowledgement form, Prescreening form, and a letter from the current program’s PD.</w:t>
      </w:r>
    </w:p>
    <w:sectPr w:rsidR="0017555C" w:rsidRPr="00131F7B" w:rsidSect="009A51D6">
      <w:footerReference w:type="default" r:id="rId9"/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4231" w14:textId="77777777" w:rsidR="006C6155" w:rsidRDefault="006C6155" w:rsidP="00DB411A">
      <w:pPr>
        <w:spacing w:after="0" w:line="240" w:lineRule="auto"/>
      </w:pPr>
      <w:r>
        <w:separator/>
      </w:r>
    </w:p>
  </w:endnote>
  <w:endnote w:type="continuationSeparator" w:id="0">
    <w:p w14:paraId="2438A1ED" w14:textId="77777777" w:rsidR="006C6155" w:rsidRDefault="006C6155" w:rsidP="00DB4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BF591" w14:textId="415B22F1" w:rsidR="00DB411A" w:rsidRDefault="00DB411A">
    <w:pPr>
      <w:pStyle w:val="Footer"/>
    </w:pPr>
  </w:p>
  <w:p w14:paraId="65349698" w14:textId="362D1EA1" w:rsidR="00DB411A" w:rsidRPr="00886EEF" w:rsidRDefault="00886EEF" w:rsidP="00886EEF">
    <w:pPr>
      <w:pStyle w:val="Footer"/>
      <w:jc w:val="right"/>
      <w:rPr>
        <w:sz w:val="21"/>
        <w:szCs w:val="21"/>
      </w:rPr>
    </w:pPr>
    <w:r w:rsidRPr="00886EEF">
      <w:rPr>
        <w:sz w:val="21"/>
        <w:szCs w:val="21"/>
      </w:rPr>
      <w:t xml:space="preserve">Ver. </w:t>
    </w:r>
    <w:r w:rsidR="00EA4084">
      <w:rPr>
        <w:sz w:val="21"/>
        <w:szCs w:val="21"/>
      </w:rPr>
      <w:t>3.5</w:t>
    </w:r>
    <w:r w:rsidRPr="00886EEF">
      <w:rPr>
        <w:sz w:val="21"/>
        <w:szCs w:val="21"/>
      </w:rPr>
      <w:t>.202</w:t>
    </w:r>
    <w:r w:rsidR="00EA4084">
      <w:rPr>
        <w:sz w:val="21"/>
        <w:szCs w:val="21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E522" w14:textId="77777777" w:rsidR="006C6155" w:rsidRDefault="006C6155" w:rsidP="00DB411A">
      <w:pPr>
        <w:spacing w:after="0" w:line="240" w:lineRule="auto"/>
      </w:pPr>
      <w:r>
        <w:separator/>
      </w:r>
    </w:p>
  </w:footnote>
  <w:footnote w:type="continuationSeparator" w:id="0">
    <w:p w14:paraId="5FBE02BA" w14:textId="77777777" w:rsidR="006C6155" w:rsidRDefault="006C6155" w:rsidP="00DB4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217DE"/>
    <w:multiLevelType w:val="hybridMultilevel"/>
    <w:tmpl w:val="C066B680"/>
    <w:lvl w:ilvl="0" w:tplc="C01A38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E1C7E"/>
    <w:multiLevelType w:val="hybridMultilevel"/>
    <w:tmpl w:val="EF84435E"/>
    <w:lvl w:ilvl="0" w:tplc="D12C29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445180">
    <w:abstractNumId w:val="1"/>
  </w:num>
  <w:num w:numId="2" w16cid:durableId="133938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2D"/>
    <w:rsid w:val="00013BE4"/>
    <w:rsid w:val="000241BF"/>
    <w:rsid w:val="00026800"/>
    <w:rsid w:val="000331A1"/>
    <w:rsid w:val="0003716F"/>
    <w:rsid w:val="00053FCC"/>
    <w:rsid w:val="00055C81"/>
    <w:rsid w:val="00055D79"/>
    <w:rsid w:val="000613DF"/>
    <w:rsid w:val="0006184C"/>
    <w:rsid w:val="0006514A"/>
    <w:rsid w:val="0008190E"/>
    <w:rsid w:val="000A6656"/>
    <w:rsid w:val="000B494F"/>
    <w:rsid w:val="000E1DA4"/>
    <w:rsid w:val="00124DFF"/>
    <w:rsid w:val="00131F7B"/>
    <w:rsid w:val="00141C7B"/>
    <w:rsid w:val="00163D43"/>
    <w:rsid w:val="00173F95"/>
    <w:rsid w:val="0017555C"/>
    <w:rsid w:val="001974B2"/>
    <w:rsid w:val="00201C55"/>
    <w:rsid w:val="00266813"/>
    <w:rsid w:val="00267D7D"/>
    <w:rsid w:val="00271E79"/>
    <w:rsid w:val="0028600D"/>
    <w:rsid w:val="002B2640"/>
    <w:rsid w:val="002D7C60"/>
    <w:rsid w:val="003151CE"/>
    <w:rsid w:val="003516C0"/>
    <w:rsid w:val="0035587C"/>
    <w:rsid w:val="003612C3"/>
    <w:rsid w:val="00373100"/>
    <w:rsid w:val="0038459E"/>
    <w:rsid w:val="00387CDB"/>
    <w:rsid w:val="00391533"/>
    <w:rsid w:val="003A067F"/>
    <w:rsid w:val="003D3FBA"/>
    <w:rsid w:val="003E79AD"/>
    <w:rsid w:val="00427DF9"/>
    <w:rsid w:val="0046336F"/>
    <w:rsid w:val="004830D0"/>
    <w:rsid w:val="00487723"/>
    <w:rsid w:val="0049311C"/>
    <w:rsid w:val="004949BE"/>
    <w:rsid w:val="004A5853"/>
    <w:rsid w:val="004A63ED"/>
    <w:rsid w:val="004D097A"/>
    <w:rsid w:val="004D5E31"/>
    <w:rsid w:val="004E089F"/>
    <w:rsid w:val="004E0FCA"/>
    <w:rsid w:val="004E3422"/>
    <w:rsid w:val="004E4A22"/>
    <w:rsid w:val="004F224C"/>
    <w:rsid w:val="0051086E"/>
    <w:rsid w:val="00511D5A"/>
    <w:rsid w:val="00520BFB"/>
    <w:rsid w:val="00533452"/>
    <w:rsid w:val="005568D5"/>
    <w:rsid w:val="00570B71"/>
    <w:rsid w:val="005811B6"/>
    <w:rsid w:val="005A2761"/>
    <w:rsid w:val="005C4C2D"/>
    <w:rsid w:val="005D4567"/>
    <w:rsid w:val="005D51B3"/>
    <w:rsid w:val="005E3E84"/>
    <w:rsid w:val="005F32B5"/>
    <w:rsid w:val="006035D0"/>
    <w:rsid w:val="00626D02"/>
    <w:rsid w:val="00630AE7"/>
    <w:rsid w:val="00631D4A"/>
    <w:rsid w:val="006409C9"/>
    <w:rsid w:val="0064636D"/>
    <w:rsid w:val="0065266F"/>
    <w:rsid w:val="0067022D"/>
    <w:rsid w:val="00685294"/>
    <w:rsid w:val="00697EE3"/>
    <w:rsid w:val="006A14EA"/>
    <w:rsid w:val="006C6155"/>
    <w:rsid w:val="006F0BB1"/>
    <w:rsid w:val="007134F6"/>
    <w:rsid w:val="00720C22"/>
    <w:rsid w:val="0072337D"/>
    <w:rsid w:val="00754F4D"/>
    <w:rsid w:val="00785E58"/>
    <w:rsid w:val="007A3CD5"/>
    <w:rsid w:val="007B3C58"/>
    <w:rsid w:val="007C5F98"/>
    <w:rsid w:val="007E1A55"/>
    <w:rsid w:val="007E602A"/>
    <w:rsid w:val="007F2DDE"/>
    <w:rsid w:val="00803E5D"/>
    <w:rsid w:val="008245A3"/>
    <w:rsid w:val="0083454C"/>
    <w:rsid w:val="00864FEA"/>
    <w:rsid w:val="00882A6B"/>
    <w:rsid w:val="00886EEF"/>
    <w:rsid w:val="008A4078"/>
    <w:rsid w:val="008C0090"/>
    <w:rsid w:val="008E37A2"/>
    <w:rsid w:val="00901073"/>
    <w:rsid w:val="009022A8"/>
    <w:rsid w:val="009044EC"/>
    <w:rsid w:val="00914EDF"/>
    <w:rsid w:val="009362D8"/>
    <w:rsid w:val="00937F52"/>
    <w:rsid w:val="00951A8E"/>
    <w:rsid w:val="00966EE3"/>
    <w:rsid w:val="00973DD6"/>
    <w:rsid w:val="009866CC"/>
    <w:rsid w:val="0099314F"/>
    <w:rsid w:val="009A51D6"/>
    <w:rsid w:val="009E19F8"/>
    <w:rsid w:val="00A233F9"/>
    <w:rsid w:val="00A33E64"/>
    <w:rsid w:val="00A36CA4"/>
    <w:rsid w:val="00A506C8"/>
    <w:rsid w:val="00A70ED3"/>
    <w:rsid w:val="00A957AF"/>
    <w:rsid w:val="00AA4BDD"/>
    <w:rsid w:val="00AB3B87"/>
    <w:rsid w:val="00AD5135"/>
    <w:rsid w:val="00AE4B40"/>
    <w:rsid w:val="00AF1C26"/>
    <w:rsid w:val="00B077F4"/>
    <w:rsid w:val="00B3268E"/>
    <w:rsid w:val="00B46D2D"/>
    <w:rsid w:val="00B50649"/>
    <w:rsid w:val="00B573E5"/>
    <w:rsid w:val="00B72087"/>
    <w:rsid w:val="00B81BD1"/>
    <w:rsid w:val="00B950AE"/>
    <w:rsid w:val="00BB38E4"/>
    <w:rsid w:val="00BC3965"/>
    <w:rsid w:val="00BF691B"/>
    <w:rsid w:val="00C17284"/>
    <w:rsid w:val="00C2694E"/>
    <w:rsid w:val="00C41AC9"/>
    <w:rsid w:val="00C424D4"/>
    <w:rsid w:val="00C44828"/>
    <w:rsid w:val="00C7717F"/>
    <w:rsid w:val="00C835F8"/>
    <w:rsid w:val="00CD4D1E"/>
    <w:rsid w:val="00D06FA5"/>
    <w:rsid w:val="00D26070"/>
    <w:rsid w:val="00D5666A"/>
    <w:rsid w:val="00D62FD6"/>
    <w:rsid w:val="00D82E97"/>
    <w:rsid w:val="00D92E37"/>
    <w:rsid w:val="00DA4C1A"/>
    <w:rsid w:val="00DB411A"/>
    <w:rsid w:val="00DC6808"/>
    <w:rsid w:val="00DD6CEB"/>
    <w:rsid w:val="00E10473"/>
    <w:rsid w:val="00E34CC7"/>
    <w:rsid w:val="00E40CE4"/>
    <w:rsid w:val="00E44D74"/>
    <w:rsid w:val="00E71B36"/>
    <w:rsid w:val="00E73618"/>
    <w:rsid w:val="00EA4084"/>
    <w:rsid w:val="00EC103B"/>
    <w:rsid w:val="00EC5AAD"/>
    <w:rsid w:val="00ED3E81"/>
    <w:rsid w:val="00ED43F2"/>
    <w:rsid w:val="00EE1FAF"/>
    <w:rsid w:val="00EE6796"/>
    <w:rsid w:val="00EF6067"/>
    <w:rsid w:val="00F42EEE"/>
    <w:rsid w:val="00F67473"/>
    <w:rsid w:val="00FB51DD"/>
    <w:rsid w:val="00FD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B7584"/>
  <w15:docId w15:val="{C112BE1C-FF62-4A8C-B730-EA3F4256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5A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57AF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0BB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1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13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5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5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51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5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513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03E5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03E5D"/>
    <w:pPr>
      <w:spacing w:after="0" w:line="240" w:lineRule="auto"/>
    </w:pPr>
    <w:rPr>
      <w:rFonts w:ascii="Goudy Old Style" w:eastAsiaTheme="minorHAnsi" w:hAnsi="Goudy Old Style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rsid w:val="00803E5D"/>
    <w:rPr>
      <w:rFonts w:ascii="Goudy Old Style" w:eastAsiaTheme="minorHAnsi" w:hAnsi="Goudy Old Style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C5A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4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11A"/>
  </w:style>
  <w:style w:type="paragraph" w:styleId="Footer">
    <w:name w:val="footer"/>
    <w:basedOn w:val="Normal"/>
    <w:link w:val="FooterChar"/>
    <w:uiPriority w:val="99"/>
    <w:unhideWhenUsed/>
    <w:rsid w:val="00DB4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usf.edu/medicine/gme/forms-templat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alth.usf.edu/-/media/Files/Medicine/GME/forms-templates/202001Non-Match-Candidate-Application.ashx?la=en&amp;hash=779B9E7EB3261BBAAB7392DDDA2210B63C5992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1759</Characters>
  <Application>Microsoft Office Word</Application>
  <DocSecurity>0</DocSecurity>
  <PresentationFormat/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resident condition offer letter (00004910-3).DOCX</vt:lpstr>
    </vt:vector>
  </TitlesOfParts>
  <Company>University of South Florida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resident condition offer letter (00004910-3).DOCX</dc:title>
  <dc:creator>mcerullo</dc:creator>
  <cp:lastModifiedBy>Teresa Flaitz</cp:lastModifiedBy>
  <cp:revision>8</cp:revision>
  <dcterms:created xsi:type="dcterms:W3CDTF">2025-05-09T12:37:00Z</dcterms:created>
  <dcterms:modified xsi:type="dcterms:W3CDTF">2026-04-16T19:49:00Z</dcterms:modified>
</cp:coreProperties>
</file>