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42" w:rsidRDefault="00FE7542">
      <w:pPr>
        <w:jc w:val="center"/>
      </w:pPr>
      <w:bookmarkStart w:id="0" w:name="_GoBack"/>
      <w:bookmarkEnd w:id="0"/>
      <w:r>
        <w:t>TALLAHASSEE MEMORIAL HEALTHCARE</w:t>
      </w:r>
    </w:p>
    <w:p w:rsidR="00FE7542" w:rsidRDefault="00FE7542">
      <w:pPr>
        <w:jc w:val="center"/>
      </w:pPr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</w:p>
    <w:p w:rsidR="00FE7542" w:rsidRDefault="00FE7542">
      <w:pPr>
        <w:jc w:val="center"/>
      </w:pPr>
    </w:p>
    <w:p w:rsidR="00FE7542" w:rsidRDefault="00FE7542">
      <w:pPr>
        <w:ind w:firstLine="720"/>
        <w:jc w:val="both"/>
      </w:pPr>
      <w:r>
        <w:t xml:space="preserve">POLICY AND PROCEDURE NO. </w:t>
      </w:r>
      <w:r w:rsidR="005844D5">
        <w:t xml:space="preserve"> </w:t>
      </w:r>
      <w:r w:rsidR="005844D5" w:rsidRPr="005844D5">
        <w:t>000</w:t>
      </w:r>
      <w:r w:rsidR="005844D5">
        <w:t>.000.00</w:t>
      </w:r>
      <w:r w:rsidR="005844D5">
        <w:tab/>
      </w:r>
      <w:r>
        <w:tab/>
        <w:t>Date Created</w:t>
      </w:r>
      <w:r w:rsidR="00431902">
        <w:t xml:space="preserve">: </w:t>
      </w:r>
      <w:r w:rsidR="00431902">
        <w:tab/>
        <w:t>(Date)</w:t>
      </w:r>
    </w:p>
    <w:p w:rsidR="00FE7542" w:rsidRDefault="00FE7542">
      <w:r>
        <w:tab/>
      </w:r>
      <w:r>
        <w:tab/>
      </w:r>
      <w:r>
        <w:tab/>
      </w:r>
      <w:r>
        <w:tab/>
      </w:r>
      <w:r w:rsidR="005844D5">
        <w:tab/>
        <w:t xml:space="preserve">     </w:t>
      </w:r>
      <w:r w:rsidR="005844D5" w:rsidRPr="005844D5">
        <w:rPr>
          <w:sz w:val="16"/>
        </w:rPr>
        <w:softHyphen/>
      </w:r>
      <w:r w:rsidR="005844D5" w:rsidRPr="005844D5">
        <w:rPr>
          <w:sz w:val="16"/>
        </w:rPr>
        <w:softHyphen/>
      </w:r>
      <w:r w:rsidR="005844D5" w:rsidRPr="005844D5">
        <w:rPr>
          <w:sz w:val="16"/>
        </w:rPr>
        <w:softHyphen/>
      </w:r>
      <w:r w:rsidR="005844D5">
        <w:tab/>
      </w:r>
      <w:r w:rsidR="005844D5">
        <w:tab/>
      </w:r>
      <w:r w:rsidR="005844D5">
        <w:tab/>
      </w:r>
      <w:r w:rsidR="005844D5">
        <w:tab/>
      </w:r>
      <w:r>
        <w:t xml:space="preserve">Revised:  </w:t>
      </w:r>
      <w:r w:rsidR="00431902">
        <w:tab/>
      </w:r>
      <w:r>
        <w:t>(Date)</w:t>
      </w:r>
    </w:p>
    <w:p w:rsidR="00FE7542" w:rsidRDefault="00FE7542"/>
    <w:p w:rsidR="00523D7F" w:rsidRDefault="00396F47" w:rsidP="00523D7F">
      <w:pPr>
        <w:pStyle w:val="BodyTextIndent"/>
        <w:ind w:left="2160"/>
      </w:pPr>
      <w:r>
        <w:rPr>
          <w:b/>
        </w:rPr>
        <w:t>Long Acting Reversible Contraceptive (LARC)</w:t>
      </w:r>
      <w:r w:rsidR="00523D7F" w:rsidRPr="00523D7F">
        <w:rPr>
          <w:b/>
        </w:rPr>
        <w:t xml:space="preserve"> </w:t>
      </w:r>
      <w:r>
        <w:rPr>
          <w:b/>
        </w:rPr>
        <w:t xml:space="preserve">Device </w:t>
      </w:r>
    </w:p>
    <w:p w:rsidR="00FE7542" w:rsidRDefault="00FE7542" w:rsidP="00523D7F">
      <w:pPr>
        <w:pStyle w:val="Heading1"/>
        <w:ind w:firstLine="720"/>
        <w:rPr>
          <w:i/>
        </w:rPr>
      </w:pPr>
    </w:p>
    <w:p w:rsidR="00FE7542" w:rsidRDefault="00FE7542"/>
    <w:p w:rsidR="00FE7542" w:rsidRDefault="00FE7542">
      <w:pPr>
        <w:ind w:left="1440"/>
      </w:pPr>
    </w:p>
    <w:p w:rsidR="00FE7542" w:rsidRDefault="00FE7542">
      <w:pPr>
        <w:numPr>
          <w:ilvl w:val="0"/>
          <w:numId w:val="14"/>
        </w:numPr>
      </w:pPr>
      <w:r>
        <w:rPr>
          <w:u w:val="single"/>
        </w:rPr>
        <w:t>POLICY:</w:t>
      </w:r>
    </w:p>
    <w:p w:rsidR="00FE7542" w:rsidRDefault="00FE7542">
      <w:pPr>
        <w:rPr>
          <w:u w:val="single"/>
        </w:rPr>
      </w:pPr>
    </w:p>
    <w:p w:rsidR="00523D7F" w:rsidRDefault="00396F47" w:rsidP="00523D7F">
      <w:pPr>
        <w:pStyle w:val="BodyTextIndent"/>
        <w:ind w:left="2160"/>
      </w:pPr>
      <w:r>
        <w:t>Provide postpartum women with a</w:t>
      </w:r>
      <w:r w:rsidR="00523D7F">
        <w:t xml:space="preserve"> </w:t>
      </w:r>
      <w:r>
        <w:t>long acting reversible contraceptive</w:t>
      </w:r>
      <w:r w:rsidR="000F40ED">
        <w:t xml:space="preserve"> (LARC)</w:t>
      </w:r>
      <w:r>
        <w:t xml:space="preserve"> option</w:t>
      </w:r>
      <w:r w:rsidR="00523D7F">
        <w:t xml:space="preserve"> prior to discharge from the Family Care unit.   </w:t>
      </w:r>
    </w:p>
    <w:p w:rsidR="00523D7F" w:rsidRDefault="00523D7F">
      <w:pPr>
        <w:pStyle w:val="BodyTextIndent"/>
        <w:ind w:left="2160"/>
      </w:pPr>
    </w:p>
    <w:p w:rsidR="00FE7542" w:rsidRDefault="00FE7542"/>
    <w:p w:rsidR="00FE7542" w:rsidRDefault="00FE7542">
      <w:pPr>
        <w:numPr>
          <w:ilvl w:val="0"/>
          <w:numId w:val="14"/>
        </w:numPr>
      </w:pPr>
      <w:r>
        <w:rPr>
          <w:u w:val="single"/>
        </w:rPr>
        <w:t>PROCEDURE:</w:t>
      </w:r>
    </w:p>
    <w:p w:rsidR="00FE7542" w:rsidRDefault="00FE7542">
      <w:pPr>
        <w:rPr>
          <w:u w:val="single"/>
        </w:rPr>
      </w:pPr>
    </w:p>
    <w:p w:rsidR="00F5143C" w:rsidRDefault="00F5143C" w:rsidP="00F5143C">
      <w:pPr>
        <w:pStyle w:val="BodyTextIndent"/>
        <w:numPr>
          <w:ilvl w:val="1"/>
          <w:numId w:val="14"/>
        </w:numPr>
      </w:pPr>
      <w:r>
        <w:t xml:space="preserve">Informed consent for the procedure will be obtained by the </w:t>
      </w:r>
      <w:r w:rsidR="00F22E9F">
        <w:t xml:space="preserve">Family Medicine </w:t>
      </w:r>
      <w:r w:rsidR="00B960B4">
        <w:t>Residency provider (FMRP).</w:t>
      </w:r>
      <w:r w:rsidR="00F22E9F">
        <w:t xml:space="preserve"> </w:t>
      </w:r>
    </w:p>
    <w:p w:rsidR="009E528C" w:rsidRDefault="00396F47" w:rsidP="009E528C">
      <w:pPr>
        <w:pStyle w:val="BodyTextIndent"/>
        <w:numPr>
          <w:ilvl w:val="1"/>
          <w:numId w:val="14"/>
        </w:numPr>
      </w:pPr>
      <w:r>
        <w:t xml:space="preserve">LARC </w:t>
      </w:r>
      <w:r w:rsidR="00F5143C">
        <w:t xml:space="preserve">can be placed at any time following the delivery and </w:t>
      </w:r>
      <w:r w:rsidR="00202472">
        <w:t>prior to discharge f</w:t>
      </w:r>
      <w:r w:rsidR="00F5143C">
        <w:t>r</w:t>
      </w:r>
      <w:r w:rsidR="00202472">
        <w:t>o</w:t>
      </w:r>
      <w:r w:rsidR="00F5143C">
        <w:t xml:space="preserve">m the hospital. </w:t>
      </w:r>
    </w:p>
    <w:p w:rsidR="00F5143C" w:rsidRDefault="0075334C" w:rsidP="00F5143C">
      <w:pPr>
        <w:pStyle w:val="BodyTextIndent"/>
        <w:numPr>
          <w:ilvl w:val="1"/>
          <w:numId w:val="14"/>
        </w:numPr>
      </w:pPr>
      <w:r>
        <w:t xml:space="preserve">The RN will provide </w:t>
      </w:r>
      <w:r w:rsidR="00685977">
        <w:t xml:space="preserve">an </w:t>
      </w:r>
      <w:r>
        <w:t>education handout to patient i</w:t>
      </w:r>
      <w:r w:rsidR="00202472">
        <w:t xml:space="preserve">n preparation for </w:t>
      </w:r>
      <w:r w:rsidR="00396F47">
        <w:t xml:space="preserve">the LARC </w:t>
      </w:r>
      <w:r w:rsidR="00202472">
        <w:t>procedure</w:t>
      </w:r>
      <w:r>
        <w:t xml:space="preserve">. </w:t>
      </w:r>
    </w:p>
    <w:p w:rsidR="00FE7542" w:rsidRDefault="00F547E7" w:rsidP="00C6300E">
      <w:pPr>
        <w:pStyle w:val="BodyTextIndent"/>
        <w:numPr>
          <w:ilvl w:val="1"/>
          <w:numId w:val="14"/>
        </w:numPr>
      </w:pPr>
      <w:r>
        <w:t>The FMRP</w:t>
      </w:r>
      <w:r w:rsidR="00F5143C">
        <w:t xml:space="preserve"> will be responsible for:</w:t>
      </w:r>
    </w:p>
    <w:p w:rsidR="00BE050B" w:rsidRDefault="00BE050B" w:rsidP="00BE050B">
      <w:pPr>
        <w:pStyle w:val="BodyTextIndent"/>
        <w:numPr>
          <w:ilvl w:val="2"/>
          <w:numId w:val="14"/>
        </w:numPr>
      </w:pPr>
      <w:r>
        <w:t xml:space="preserve">Patient education on the risks, benefits, and alternatives. </w:t>
      </w:r>
    </w:p>
    <w:p w:rsidR="00FE7542" w:rsidRDefault="00F547E7">
      <w:pPr>
        <w:pStyle w:val="BodyTextIndent"/>
        <w:numPr>
          <w:ilvl w:val="2"/>
          <w:numId w:val="14"/>
        </w:numPr>
      </w:pPr>
      <w:r>
        <w:t xml:space="preserve">Placing an order in </w:t>
      </w:r>
      <w:proofErr w:type="spellStart"/>
      <w:r>
        <w:t>PowerC</w:t>
      </w:r>
      <w:r w:rsidR="00F5143C">
        <w:t>hart</w:t>
      </w:r>
      <w:proofErr w:type="spellEnd"/>
      <w:r w:rsidR="00F5143C">
        <w:t xml:space="preserve"> for procedure</w:t>
      </w:r>
      <w:r w:rsidR="00F22E9F">
        <w:t>.</w:t>
      </w:r>
      <w:r w:rsidR="00F5143C">
        <w:t xml:space="preserve"> </w:t>
      </w:r>
    </w:p>
    <w:p w:rsidR="004A0E71" w:rsidRDefault="00F5143C" w:rsidP="004A0E71">
      <w:pPr>
        <w:pStyle w:val="BodyTextIndent"/>
        <w:numPr>
          <w:ilvl w:val="2"/>
          <w:numId w:val="14"/>
        </w:numPr>
      </w:pPr>
      <w:r>
        <w:t xml:space="preserve">Documenting the procedure in </w:t>
      </w:r>
      <w:r w:rsidR="00F547E7">
        <w:t xml:space="preserve">the patient’s </w:t>
      </w:r>
      <w:r>
        <w:t xml:space="preserve">electronic </w:t>
      </w:r>
      <w:r w:rsidR="00F547E7">
        <w:t xml:space="preserve">medical </w:t>
      </w:r>
      <w:r>
        <w:t>record</w:t>
      </w:r>
      <w:r w:rsidR="00685977">
        <w:t>.  P</w:t>
      </w:r>
      <w:r w:rsidR="003C62DB">
        <w:t>atient charges wil</w:t>
      </w:r>
      <w:r w:rsidR="00205555">
        <w:t>l be linked to provider</w:t>
      </w:r>
      <w:r w:rsidR="00F547E7">
        <w:t xml:space="preserve">’s </w:t>
      </w:r>
      <w:r w:rsidR="003C62DB">
        <w:t xml:space="preserve">procedure note. </w:t>
      </w:r>
    </w:p>
    <w:p w:rsidR="00FE7542" w:rsidRDefault="003C62DB" w:rsidP="003C62DB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E. </w:t>
      </w:r>
      <w:r>
        <w:tab/>
      </w:r>
      <w:r>
        <w:tab/>
      </w:r>
      <w:r w:rsidR="004A0E71">
        <w:t xml:space="preserve">Once the order is placed by provider, the pharmacy will deliver the </w:t>
      </w:r>
      <w:r w:rsidR="004A0E71">
        <w:tab/>
      </w:r>
      <w:r w:rsidR="004A0E71">
        <w:tab/>
        <w:t xml:space="preserve">device to the unit. </w:t>
      </w:r>
    </w:p>
    <w:p w:rsidR="003C62DB" w:rsidRDefault="003C62DB" w:rsidP="003C62DB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F. </w:t>
      </w:r>
      <w:r>
        <w:tab/>
      </w:r>
      <w:r>
        <w:tab/>
      </w:r>
      <w:r w:rsidR="004A0E71">
        <w:t xml:space="preserve">The RN will obtain medical procedure consent and assist the </w:t>
      </w:r>
      <w:r w:rsidR="004A0E71">
        <w:tab/>
      </w:r>
      <w:r w:rsidR="004A0E71">
        <w:tab/>
      </w:r>
      <w:r w:rsidR="004A0E71">
        <w:tab/>
        <w:t>provider throughout the procedure.</w:t>
      </w:r>
    </w:p>
    <w:p w:rsidR="00FC7240" w:rsidRDefault="00FC7240" w:rsidP="003C62DB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G. </w:t>
      </w:r>
      <w:r>
        <w:tab/>
      </w:r>
      <w:r>
        <w:tab/>
      </w:r>
      <w:r w:rsidR="004A0E71">
        <w:t>The RN will continue to monitor the patient’s status post-</w:t>
      </w:r>
      <w:r w:rsidR="004A0E71">
        <w:tab/>
      </w:r>
      <w:r w:rsidR="004A0E71">
        <w:tab/>
      </w:r>
      <w:r w:rsidR="004A0E71">
        <w:tab/>
      </w:r>
      <w:r w:rsidR="004A0E71">
        <w:tab/>
        <w:t xml:space="preserve">procedure, observe the dressing during every shift assessment, and </w:t>
      </w:r>
      <w:r w:rsidR="004A0E71">
        <w:tab/>
      </w:r>
      <w:r w:rsidR="004A0E71">
        <w:tab/>
      </w:r>
      <w:r w:rsidR="004A0E71">
        <w:tab/>
        <w:t>document findings.</w:t>
      </w:r>
    </w:p>
    <w:p w:rsidR="00FC7240" w:rsidRDefault="00FC7240" w:rsidP="004A0E71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H. </w:t>
      </w:r>
      <w:r>
        <w:tab/>
      </w:r>
      <w:r>
        <w:tab/>
      </w:r>
      <w:r w:rsidR="004A0E71">
        <w:t xml:space="preserve">The RN will notify the provider if the patient experiences severe </w:t>
      </w:r>
      <w:r w:rsidR="004A0E71">
        <w:tab/>
      </w:r>
      <w:r w:rsidR="004A0E71">
        <w:tab/>
      </w:r>
      <w:r w:rsidR="004A0E71">
        <w:tab/>
        <w:t xml:space="preserve">pain, swelling, and/or redness at the insertion site if the </w:t>
      </w:r>
      <w:proofErr w:type="spellStart"/>
      <w:r w:rsidR="004A0E71">
        <w:t>Nexplanon</w:t>
      </w:r>
      <w:proofErr w:type="spellEnd"/>
      <w:r w:rsidR="004A0E71">
        <w:t xml:space="preserve"> </w:t>
      </w:r>
      <w:r w:rsidR="004A0E71">
        <w:tab/>
      </w:r>
      <w:r w:rsidR="004A0E71">
        <w:tab/>
      </w:r>
      <w:r w:rsidR="004A0E71">
        <w:tab/>
        <w:t>device was used.</w:t>
      </w:r>
    </w:p>
    <w:p w:rsidR="00FE7542" w:rsidRDefault="009E528C" w:rsidP="009E528C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I. </w:t>
      </w:r>
      <w:r>
        <w:tab/>
      </w:r>
      <w:r>
        <w:tab/>
        <w:t xml:space="preserve"> </w:t>
      </w:r>
      <w:r w:rsidR="004A0E71">
        <w:t xml:space="preserve">The RN will teach the patient how to care for the dressing and then </w:t>
      </w:r>
      <w:r w:rsidR="004A0E71">
        <w:tab/>
      </w:r>
      <w:r w:rsidR="004A0E71">
        <w:tab/>
        <w:t xml:space="preserve">the surgical site after the bandage is removed if the </w:t>
      </w:r>
      <w:proofErr w:type="spellStart"/>
      <w:r w:rsidR="004A0E71">
        <w:t>Nexplanon</w:t>
      </w:r>
      <w:proofErr w:type="spellEnd"/>
      <w:r w:rsidR="004A0E71">
        <w:t xml:space="preserve"> </w:t>
      </w:r>
      <w:r w:rsidR="004A0E71">
        <w:tab/>
      </w:r>
      <w:r w:rsidR="004A0E71">
        <w:tab/>
      </w:r>
      <w:r w:rsidR="004A0E71">
        <w:tab/>
        <w:t>device was used.</w:t>
      </w:r>
    </w:p>
    <w:p w:rsidR="004A0E71" w:rsidRDefault="004A0E71" w:rsidP="004A0E71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J. </w:t>
      </w:r>
      <w:r>
        <w:tab/>
      </w:r>
      <w:r>
        <w:tab/>
        <w:t xml:space="preserve">The RN will provide the patient with written contact information in </w:t>
      </w:r>
      <w:r>
        <w:tab/>
      </w:r>
      <w:r>
        <w:tab/>
        <w:t xml:space="preserve">the discharge/depart instructions for complications related to the </w:t>
      </w:r>
      <w:r>
        <w:tab/>
      </w:r>
      <w:r>
        <w:tab/>
      </w:r>
      <w:r>
        <w:tab/>
        <w:t>insertion procedure.</w:t>
      </w:r>
    </w:p>
    <w:p w:rsidR="004A0E71" w:rsidRDefault="004A0E71" w:rsidP="004A0E71">
      <w:pPr>
        <w:pStyle w:val="BodyTextIndent"/>
        <w:tabs>
          <w:tab w:val="left" w:pos="2160"/>
          <w:tab w:val="left" w:pos="2520"/>
          <w:tab w:val="left" w:pos="2880"/>
        </w:tabs>
        <w:ind w:left="2160"/>
      </w:pPr>
      <w:r>
        <w:t xml:space="preserve">K. </w:t>
      </w:r>
      <w:r>
        <w:tab/>
      </w:r>
      <w:r>
        <w:tab/>
        <w:t xml:space="preserve">The RN will be responsible for documentation in </w:t>
      </w:r>
      <w:proofErr w:type="spellStart"/>
      <w:r>
        <w:t>PowerChart</w:t>
      </w:r>
      <w:proofErr w:type="spellEnd"/>
      <w:r>
        <w:t xml:space="preserve"> </w:t>
      </w:r>
      <w:r>
        <w:tab/>
      </w:r>
      <w:r>
        <w:tab/>
      </w:r>
      <w:r>
        <w:tab/>
        <w:t>regard</w:t>
      </w:r>
      <w:r w:rsidR="000F40ED">
        <w:t>ing assisting the p</w:t>
      </w:r>
      <w:r w:rsidR="00CC0E08">
        <w:t>rovider</w:t>
      </w:r>
      <w:r w:rsidR="000F40ED">
        <w:t>, per</w:t>
      </w:r>
      <w:r>
        <w:t xml:space="preserve">forming the golden moment </w:t>
      </w:r>
      <w:r>
        <w:tab/>
      </w:r>
      <w:r>
        <w:tab/>
      </w:r>
      <w:r>
        <w:tab/>
        <w:t>before the procedure starts</w:t>
      </w:r>
      <w:r w:rsidR="000F40ED">
        <w:t>,</w:t>
      </w:r>
      <w:r>
        <w:t xml:space="preserve"> and how the patient tolerated the </w:t>
      </w:r>
      <w:r>
        <w:tab/>
      </w:r>
      <w:r>
        <w:tab/>
      </w:r>
      <w:r>
        <w:tab/>
        <w:t xml:space="preserve">procedure. </w:t>
      </w:r>
    </w:p>
    <w:p w:rsidR="005844D5" w:rsidRDefault="005844D5">
      <w:pPr>
        <w:pStyle w:val="BodyTextIndent"/>
        <w:ind w:left="0"/>
      </w:pPr>
    </w:p>
    <w:p w:rsidR="005844D5" w:rsidRDefault="005844D5">
      <w:pPr>
        <w:pStyle w:val="BodyTextIndent"/>
        <w:ind w:left="0"/>
      </w:pPr>
    </w:p>
    <w:p w:rsidR="005844D5" w:rsidRDefault="005844D5">
      <w:pPr>
        <w:pStyle w:val="BodyTextIndent"/>
        <w:ind w:left="0"/>
      </w:pPr>
    </w:p>
    <w:p w:rsidR="00FE7542" w:rsidRDefault="00FE7542">
      <w:pPr>
        <w:pStyle w:val="BodyTextIndent"/>
        <w:numPr>
          <w:ilvl w:val="0"/>
          <w:numId w:val="14"/>
        </w:numPr>
      </w:pPr>
      <w:r>
        <w:rPr>
          <w:u w:val="single"/>
        </w:rPr>
        <w:t>RESPONSIBILITIES:</w:t>
      </w:r>
    </w:p>
    <w:p w:rsidR="00FE7542" w:rsidRDefault="00FE7542">
      <w:pPr>
        <w:pStyle w:val="BodyTextIndent"/>
        <w:ind w:left="720"/>
        <w:rPr>
          <w:u w:val="single"/>
        </w:rPr>
      </w:pPr>
    </w:p>
    <w:p w:rsidR="00524B6C" w:rsidRDefault="00524B6C" w:rsidP="00524B6C">
      <w:pPr>
        <w:pStyle w:val="BodyTextIndent"/>
        <w:ind w:left="2160"/>
      </w:pPr>
      <w:r>
        <w:t>The</w:t>
      </w:r>
      <w:r w:rsidR="00F547E7">
        <w:t xml:space="preserve"> Family Care U</w:t>
      </w:r>
      <w:r w:rsidR="00707EF2">
        <w:t xml:space="preserve">nit </w:t>
      </w:r>
      <w:r>
        <w:t xml:space="preserve">nurses </w:t>
      </w:r>
      <w:r w:rsidR="00707EF2">
        <w:t>and the</w:t>
      </w:r>
      <w:r>
        <w:t xml:space="preserve"> </w:t>
      </w:r>
      <w:r w:rsidR="00B960B4">
        <w:t>Family Medicine Residency providers</w:t>
      </w:r>
      <w:r>
        <w:t xml:space="preserve"> are responsible for implementation, maintenance, and compliance with the policy and procedure.</w:t>
      </w:r>
    </w:p>
    <w:p w:rsidR="00FE7542" w:rsidRDefault="00FE7542">
      <w:pPr>
        <w:pStyle w:val="BodyTextIndent"/>
      </w:pPr>
    </w:p>
    <w:p w:rsidR="00FE7542" w:rsidRDefault="00FE7542">
      <w:pPr>
        <w:pStyle w:val="BodyTextIndent"/>
        <w:numPr>
          <w:ilvl w:val="0"/>
          <w:numId w:val="14"/>
        </w:numPr>
      </w:pPr>
      <w:r>
        <w:rPr>
          <w:u w:val="single"/>
        </w:rPr>
        <w:t>REFERENCES:</w:t>
      </w:r>
    </w:p>
    <w:p w:rsidR="00FE7542" w:rsidRDefault="00FE7542">
      <w:pPr>
        <w:pStyle w:val="BodyTextIndent"/>
        <w:rPr>
          <w:u w:val="single"/>
        </w:rPr>
      </w:pPr>
    </w:p>
    <w:p w:rsidR="004806A4" w:rsidRDefault="004806A4">
      <w:pPr>
        <w:pStyle w:val="BodyTextIndent"/>
        <w:ind w:left="2160"/>
      </w:pPr>
      <w:r>
        <w:t xml:space="preserve">American College of </w:t>
      </w:r>
      <w:r w:rsidR="0093278C">
        <w:t>Obstetricians</w:t>
      </w:r>
      <w:r>
        <w:t xml:space="preserve"> and </w:t>
      </w:r>
      <w:r w:rsidR="0093278C">
        <w:t>Gynecologists</w:t>
      </w:r>
      <w:r>
        <w:t xml:space="preserve">. “ACOG strengths LARC recommendations.” </w:t>
      </w:r>
      <w:hyperlink r:id="rId8" w:history="1">
        <w:r w:rsidRPr="00A01E24">
          <w:rPr>
            <w:rStyle w:val="Hyperlink"/>
          </w:rPr>
          <w:t>https://www.acog.org/About-ACOG/News-Room/News-Releases/2015/ACOG-Strengthens-LARC-Recommendations</w:t>
        </w:r>
      </w:hyperlink>
      <w:r>
        <w:t>.</w:t>
      </w:r>
    </w:p>
    <w:p w:rsidR="004806A4" w:rsidRDefault="004806A4">
      <w:pPr>
        <w:pStyle w:val="BodyTextIndent"/>
        <w:ind w:left="2160"/>
      </w:pPr>
    </w:p>
    <w:p w:rsidR="004806A4" w:rsidRDefault="004806A4" w:rsidP="004806A4">
      <w:pPr>
        <w:pStyle w:val="BodyTextIndent"/>
        <w:ind w:left="2160"/>
      </w:pPr>
      <w:r>
        <w:t xml:space="preserve">Florida Perinatal Quality Collaboration. </w:t>
      </w:r>
      <w:r w:rsidR="00465E12">
        <w:t>“</w:t>
      </w:r>
      <w:r>
        <w:t>Immediate Postpartum Long-Acting Reversible Contraception (LARC)</w:t>
      </w:r>
      <w:r w:rsidR="00465E12">
        <w:t xml:space="preserve">.” </w:t>
      </w:r>
    </w:p>
    <w:p w:rsidR="00465E12" w:rsidRDefault="00465E12" w:rsidP="004806A4">
      <w:pPr>
        <w:pStyle w:val="BodyTextIndent"/>
        <w:ind w:left="2160"/>
      </w:pPr>
      <w:r w:rsidRPr="00465E12">
        <w:t>https://health.usf.edu/publichealth/chiles/fpqc/larc</w:t>
      </w:r>
    </w:p>
    <w:p w:rsidR="004806A4" w:rsidRDefault="004806A4">
      <w:pPr>
        <w:pStyle w:val="BodyTextIndent"/>
        <w:ind w:left="2160"/>
      </w:pPr>
    </w:p>
    <w:p w:rsidR="00FE7542" w:rsidRDefault="00FE7542">
      <w:pPr>
        <w:pStyle w:val="BodyTextIndent"/>
      </w:pPr>
    </w:p>
    <w:p w:rsidR="00FE7542" w:rsidRDefault="00FE7542">
      <w:pPr>
        <w:pStyle w:val="BodyTextIndent"/>
        <w:ind w:left="720"/>
      </w:pPr>
    </w:p>
    <w:p w:rsidR="00FE7542" w:rsidRDefault="00FE7542">
      <w:pPr>
        <w:pStyle w:val="BodyTextIndent"/>
        <w:ind w:left="720"/>
      </w:pPr>
      <w:r>
        <w:tab/>
      </w:r>
    </w:p>
    <w:p w:rsidR="00FE7542" w:rsidRDefault="00FE7542">
      <w:pPr>
        <w:pStyle w:val="BodyTextIndent"/>
        <w:ind w:left="720"/>
      </w:pPr>
    </w:p>
    <w:p w:rsidR="001949FD" w:rsidRDefault="001949FD" w:rsidP="001949FD">
      <w:pPr>
        <w:ind w:left="720" w:firstLine="720"/>
      </w:pPr>
      <w:r>
        <w:rPr>
          <w:b/>
          <w:i/>
          <w:sz w:val="20"/>
          <w:u w:val="single"/>
        </w:rPr>
        <w:t xml:space="preserve">Original with Signature on File in </w:t>
      </w:r>
      <w:r w:rsidR="00746773">
        <w:rPr>
          <w:b/>
          <w:i/>
          <w:sz w:val="20"/>
          <w:u w:val="single"/>
        </w:rPr>
        <w:t>[Insert Department]</w:t>
      </w:r>
    </w:p>
    <w:p w:rsidR="00746773" w:rsidRDefault="00746773">
      <w:pPr>
        <w:pStyle w:val="BodyTextIndent"/>
        <w:ind w:left="720" w:firstLine="720"/>
      </w:pPr>
      <w:r>
        <w:t>[Insert Signatory’s Name]</w:t>
      </w:r>
    </w:p>
    <w:p w:rsidR="00FE7542" w:rsidRDefault="00746773">
      <w:pPr>
        <w:pStyle w:val="BodyTextIndent"/>
        <w:ind w:left="720" w:firstLine="720"/>
      </w:pPr>
      <w:r>
        <w:t>[Insert Signatory’s Title]</w:t>
      </w:r>
    </w:p>
    <w:p w:rsidR="00FE7542" w:rsidRDefault="00FE7542">
      <w:pPr>
        <w:pStyle w:val="BodyTextIndent"/>
        <w:ind w:left="720"/>
      </w:pPr>
    </w:p>
    <w:p w:rsidR="00FE7542" w:rsidRDefault="00FE7542">
      <w:pPr>
        <w:pStyle w:val="BodyTextIndent"/>
        <w:ind w:left="720"/>
      </w:pPr>
    </w:p>
    <w:p w:rsidR="00FE7542" w:rsidRDefault="00FE7542">
      <w:pPr>
        <w:pStyle w:val="BodyTextIndent"/>
        <w:ind w:left="720" w:firstLine="720"/>
      </w:pPr>
      <w:r>
        <w:t>Policy and Procedure Review and Revision History:</w:t>
      </w:r>
    </w:p>
    <w:p w:rsidR="00FE7542" w:rsidRDefault="00FE7542">
      <w:pPr>
        <w:pStyle w:val="BodyTextIndent"/>
        <w:ind w:left="720" w:firstLine="720"/>
      </w:pPr>
      <w:r>
        <w:t>(Creation Date)</w:t>
      </w:r>
    </w:p>
    <w:p w:rsidR="00FE7542" w:rsidRDefault="00FE7542">
      <w:pPr>
        <w:pStyle w:val="BodyTextIndent"/>
        <w:ind w:left="720" w:firstLine="720"/>
      </w:pPr>
      <w:r>
        <w:t>Reviewed: (Date)</w:t>
      </w:r>
    </w:p>
    <w:p w:rsidR="00FE7542" w:rsidRDefault="00FE7542">
      <w:pPr>
        <w:pStyle w:val="BodyTextIndent"/>
        <w:ind w:left="720" w:firstLine="720"/>
      </w:pPr>
      <w:r>
        <w:t>Reviewed: (Date)</w:t>
      </w:r>
    </w:p>
    <w:p w:rsidR="00FE7542" w:rsidRDefault="00FE7542">
      <w:pPr>
        <w:pStyle w:val="BodyTextIndent"/>
        <w:ind w:left="720" w:firstLine="720"/>
      </w:pPr>
      <w:r>
        <w:t>Revised:    (Date)</w:t>
      </w:r>
    </w:p>
    <w:p w:rsidR="00FE7542" w:rsidRDefault="00FE7542">
      <w:pPr>
        <w:pStyle w:val="BodyTextIndent"/>
        <w:ind w:left="720" w:firstLine="720"/>
      </w:pPr>
      <w:r>
        <w:t>Revised:    (Date)</w:t>
      </w:r>
    </w:p>
    <w:p w:rsidR="00FE7542" w:rsidRDefault="00FE7542">
      <w:pPr>
        <w:pStyle w:val="BodyTextIndent"/>
        <w:ind w:left="720"/>
      </w:pPr>
    </w:p>
    <w:p w:rsidR="00FE7542" w:rsidRDefault="00FE7542">
      <w:pPr>
        <w:pStyle w:val="BodyTextIndent"/>
        <w:ind w:left="720"/>
      </w:pPr>
    </w:p>
    <w:p w:rsidR="00191E65" w:rsidRDefault="00191E65">
      <w:pPr>
        <w:widowControl/>
        <w:sectPr w:rsidR="00191E65" w:rsidSect="00191E65">
          <w:headerReference w:type="default" r:id="rId9"/>
          <w:endnotePr>
            <w:numFmt w:val="decimal"/>
          </w:endnotePr>
          <w:pgSz w:w="12240" w:h="15840" w:code="1"/>
          <w:pgMar w:top="72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:rsidR="005844D5" w:rsidRDefault="005844D5">
      <w:pPr>
        <w:widowControl/>
      </w:pPr>
    </w:p>
    <w:sectPr w:rsidR="005844D5" w:rsidSect="00191E65"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32" w:rsidRDefault="00987D32">
      <w:r>
        <w:separator/>
      </w:r>
    </w:p>
  </w:endnote>
  <w:endnote w:type="continuationSeparator" w:id="0">
    <w:p w:rsidR="00987D32" w:rsidRDefault="0098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32" w:rsidRDefault="00987D32">
      <w:r>
        <w:separator/>
      </w:r>
    </w:p>
  </w:footnote>
  <w:footnote w:type="continuationSeparator" w:id="0">
    <w:p w:rsidR="00987D32" w:rsidRDefault="0098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2A" w:rsidRPr="006843D9" w:rsidRDefault="00A1162A" w:rsidP="00684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941"/>
    <w:multiLevelType w:val="hybridMultilevel"/>
    <w:tmpl w:val="B82260CC"/>
    <w:lvl w:ilvl="0" w:tplc="8EB41442">
      <w:start w:val="6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8684ECC0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1082D00C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1884D9FC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213096AE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E7ECBD8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CB2CDE98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8497D0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9558CAC6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7D77CFA"/>
    <w:multiLevelType w:val="hybridMultilevel"/>
    <w:tmpl w:val="D06A3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50EA4"/>
    <w:multiLevelType w:val="hybridMultilevel"/>
    <w:tmpl w:val="18AA7FA6"/>
    <w:lvl w:ilvl="0" w:tplc="5234FC2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14E0184"/>
    <w:multiLevelType w:val="hybridMultilevel"/>
    <w:tmpl w:val="27BA55AA"/>
    <w:lvl w:ilvl="0" w:tplc="7C540862">
      <w:start w:val="2"/>
      <w:numFmt w:val="upperLetter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35AF3A6">
      <w:start w:val="1"/>
      <w:numFmt w:val="decimal"/>
      <w:lvlText w:val="%2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2" w:tplc="BE2E6628">
      <w:start w:val="4"/>
      <w:numFmt w:val="upperRoman"/>
      <w:lvlText w:val="%3."/>
      <w:lvlJc w:val="left"/>
      <w:pPr>
        <w:tabs>
          <w:tab w:val="num" w:pos="7380"/>
        </w:tabs>
        <w:ind w:left="7380" w:hanging="720"/>
      </w:pPr>
      <w:rPr>
        <w:rFonts w:hint="default"/>
      </w:rPr>
    </w:lvl>
    <w:lvl w:ilvl="3" w:tplc="8E7CABB8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2AD44EFE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B6708BF6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F77620AA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81D2E504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68A033F2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 w15:restartNumberingAfterBreak="0">
    <w:nsid w:val="1AA31A0A"/>
    <w:multiLevelType w:val="hybridMultilevel"/>
    <w:tmpl w:val="1DBC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79F7"/>
    <w:multiLevelType w:val="hybridMultilevel"/>
    <w:tmpl w:val="481810F2"/>
    <w:lvl w:ilvl="0" w:tplc="18420564">
      <w:start w:val="2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2E387BA2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8B12C85C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297CE916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927C101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2C2C0804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BD60B65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A98D024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7612FB10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1F792242"/>
    <w:multiLevelType w:val="hybridMultilevel"/>
    <w:tmpl w:val="65FAB920"/>
    <w:lvl w:ilvl="0" w:tplc="8BD0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97D84"/>
    <w:multiLevelType w:val="hybridMultilevel"/>
    <w:tmpl w:val="0472E448"/>
    <w:lvl w:ilvl="0" w:tplc="3D34577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E6249E96">
      <w:start w:val="6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723A8E18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4DA9BA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B122EFC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39A86B8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2B6807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6686A13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9852241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2B1872E6"/>
    <w:multiLevelType w:val="hybridMultilevel"/>
    <w:tmpl w:val="0734D040"/>
    <w:lvl w:ilvl="0" w:tplc="404623B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B6B7571"/>
    <w:multiLevelType w:val="hybridMultilevel"/>
    <w:tmpl w:val="BC50F81C"/>
    <w:lvl w:ilvl="0" w:tplc="46F80416">
      <w:start w:val="7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D804774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B6D0BC5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555E6CEA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E066228A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93885D3A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EEB4214E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6D0ABF4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65D4D49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2DD50DC1"/>
    <w:multiLevelType w:val="hybridMultilevel"/>
    <w:tmpl w:val="A96C02B8"/>
    <w:lvl w:ilvl="0" w:tplc="DC2ABFE2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DC4CFAB4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7C5C40CE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AFEED596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7A546700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D436CDB8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B404973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 w:tplc="748A5D76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D7161462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" w15:restartNumberingAfterBreak="0">
    <w:nsid w:val="3CB539E7"/>
    <w:multiLevelType w:val="hybridMultilevel"/>
    <w:tmpl w:val="F4D08C12"/>
    <w:lvl w:ilvl="0" w:tplc="2190D18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CA6318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73C536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126F34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286D66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02A64D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34681F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64C8D8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FB86C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F912E6"/>
    <w:multiLevelType w:val="hybridMultilevel"/>
    <w:tmpl w:val="627A6542"/>
    <w:lvl w:ilvl="0" w:tplc="0DBC57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964A20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85FEEDC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8C0739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26EE00D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D4B4AFD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36B642A8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AE6C074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758727C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12D13AD"/>
    <w:multiLevelType w:val="hybridMultilevel"/>
    <w:tmpl w:val="F2B4AA6A"/>
    <w:lvl w:ilvl="0" w:tplc="8AB252FC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8650C2D"/>
    <w:multiLevelType w:val="hybridMultilevel"/>
    <w:tmpl w:val="8ACAD332"/>
    <w:lvl w:ilvl="0" w:tplc="70E0C8A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A42DE44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7242CFA0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DBC558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E76A6D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E54AEAEE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43A8F76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200071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60EA7FD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F3F5FEC"/>
    <w:multiLevelType w:val="hybridMultilevel"/>
    <w:tmpl w:val="329632DC"/>
    <w:lvl w:ilvl="0" w:tplc="22CA06EC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812F1F8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502C0788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9263C5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2D03C2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1E66B412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96B2BF2C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4CA33B2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A4FFC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56A423E5"/>
    <w:multiLevelType w:val="hybridMultilevel"/>
    <w:tmpl w:val="D3503C4C"/>
    <w:lvl w:ilvl="0" w:tplc="2DBA953A">
      <w:start w:val="2"/>
      <w:numFmt w:val="decimal"/>
      <w:lvlText w:val="%1."/>
      <w:lvlJc w:val="left"/>
      <w:pPr>
        <w:tabs>
          <w:tab w:val="num" w:pos="6480"/>
        </w:tabs>
        <w:ind w:left="6480" w:hanging="720"/>
      </w:pPr>
      <w:rPr>
        <w:rFonts w:hint="default"/>
        <w:b/>
      </w:rPr>
    </w:lvl>
    <w:lvl w:ilvl="1" w:tplc="3536E03E">
      <w:start w:val="6"/>
      <w:numFmt w:val="upperRoman"/>
      <w:lvlText w:val="%2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2" w:tplc="43A8E9FE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5A3C3FC8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526C5BFC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626A14D4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46300E5C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36CEFBD4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7F1E3154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7" w15:restartNumberingAfterBreak="0">
    <w:nsid w:val="5A1A6827"/>
    <w:multiLevelType w:val="hybridMultilevel"/>
    <w:tmpl w:val="CA442EDE"/>
    <w:lvl w:ilvl="0" w:tplc="0DDE42B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0C182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AC48ED4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CD0CEC2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6B6895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3652769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3340AFD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D578E4C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66600E6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6564025A"/>
    <w:multiLevelType w:val="hybridMultilevel"/>
    <w:tmpl w:val="AB6E494C"/>
    <w:lvl w:ilvl="0" w:tplc="9F16B35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E0C4626">
      <w:start w:val="6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950EBB9C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E4AEAA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34E320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0BA67D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6A78D54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1C706C8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5DB8CBB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6DE06BFC"/>
    <w:multiLevelType w:val="hybridMultilevel"/>
    <w:tmpl w:val="6806392C"/>
    <w:lvl w:ilvl="0" w:tplc="34AE873C">
      <w:start w:val="1"/>
      <w:numFmt w:val="low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6F9A4429"/>
    <w:multiLevelType w:val="hybridMultilevel"/>
    <w:tmpl w:val="59C6853E"/>
    <w:lvl w:ilvl="0" w:tplc="9524054A">
      <w:start w:val="1"/>
      <w:numFmt w:val="upperLetter"/>
      <w:pStyle w:val="Heading2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52AC2B58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33C6B50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C2B04FAE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46AA72D0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DDA5AF6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0C8AC24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86B8D680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9028DAE6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57D17B8"/>
    <w:multiLevelType w:val="hybridMultilevel"/>
    <w:tmpl w:val="41EC51FE"/>
    <w:lvl w:ilvl="0" w:tplc="3CC2501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032A14E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D356128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5E821310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CEA4E87C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8852422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536A96B8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83BADE5C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BF0C2FA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5EB104B"/>
    <w:multiLevelType w:val="hybridMultilevel"/>
    <w:tmpl w:val="8E66597E"/>
    <w:lvl w:ilvl="0" w:tplc="7CB82A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E6144E1E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5E126A26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BA2807C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780D10A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292CE246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5D48289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AB0C575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6FFEE13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78884E79"/>
    <w:multiLevelType w:val="hybridMultilevel"/>
    <w:tmpl w:val="62EEA410"/>
    <w:lvl w:ilvl="0" w:tplc="F6ACBFC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45224B6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D18C999C">
      <w:start w:val="1"/>
      <w:numFmt w:val="decimal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plc="A3543AE4">
      <w:start w:val="1"/>
      <w:numFmt w:val="lowerLetter"/>
      <w:lvlText w:val="%4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4" w:tplc="A9A2226C">
      <w:start w:val="1"/>
      <w:numFmt w:val="upperRoman"/>
      <w:lvlText w:val="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 w:tplc="F85C677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216CF3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D5E6E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516076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DE172DC"/>
    <w:multiLevelType w:val="hybridMultilevel"/>
    <w:tmpl w:val="6C743928"/>
    <w:lvl w:ilvl="0" w:tplc="229C1C64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9"/>
  </w:num>
  <w:num w:numId="5">
    <w:abstractNumId w:val="0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22"/>
  </w:num>
  <w:num w:numId="12">
    <w:abstractNumId w:val="14"/>
  </w:num>
  <w:num w:numId="13">
    <w:abstractNumId w:val="18"/>
  </w:num>
  <w:num w:numId="14">
    <w:abstractNumId w:val="23"/>
  </w:num>
  <w:num w:numId="15">
    <w:abstractNumId w:val="20"/>
  </w:num>
  <w:num w:numId="16">
    <w:abstractNumId w:val="11"/>
  </w:num>
  <w:num w:numId="17">
    <w:abstractNumId w:val="5"/>
  </w:num>
  <w:num w:numId="18">
    <w:abstractNumId w:val="13"/>
  </w:num>
  <w:num w:numId="19">
    <w:abstractNumId w:val="6"/>
  </w:num>
  <w:num w:numId="20">
    <w:abstractNumId w:val="24"/>
  </w:num>
  <w:num w:numId="21">
    <w:abstractNumId w:val="19"/>
  </w:num>
  <w:num w:numId="22">
    <w:abstractNumId w:val="2"/>
  </w:num>
  <w:num w:numId="23">
    <w:abstractNumId w:val="4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13"/>
    <w:rsid w:val="00014B5F"/>
    <w:rsid w:val="00083A28"/>
    <w:rsid w:val="000A331C"/>
    <w:rsid w:val="000C368E"/>
    <w:rsid w:val="000F40ED"/>
    <w:rsid w:val="001179E5"/>
    <w:rsid w:val="00122613"/>
    <w:rsid w:val="00175B83"/>
    <w:rsid w:val="00191E65"/>
    <w:rsid w:val="001949FD"/>
    <w:rsid w:val="001A7093"/>
    <w:rsid w:val="001B6634"/>
    <w:rsid w:val="001D70D5"/>
    <w:rsid w:val="00202472"/>
    <w:rsid w:val="00205555"/>
    <w:rsid w:val="002562B2"/>
    <w:rsid w:val="00276FDA"/>
    <w:rsid w:val="002A50EA"/>
    <w:rsid w:val="002A5277"/>
    <w:rsid w:val="002B0DB6"/>
    <w:rsid w:val="002D7863"/>
    <w:rsid w:val="002F5311"/>
    <w:rsid w:val="00391ABD"/>
    <w:rsid w:val="00396F47"/>
    <w:rsid w:val="003B2913"/>
    <w:rsid w:val="003C62DB"/>
    <w:rsid w:val="003F3059"/>
    <w:rsid w:val="0040488A"/>
    <w:rsid w:val="00415A2C"/>
    <w:rsid w:val="00431902"/>
    <w:rsid w:val="0046355E"/>
    <w:rsid w:val="00465E12"/>
    <w:rsid w:val="004806A4"/>
    <w:rsid w:val="00480D1B"/>
    <w:rsid w:val="004A0E71"/>
    <w:rsid w:val="004B2617"/>
    <w:rsid w:val="004D3592"/>
    <w:rsid w:val="004D3B2B"/>
    <w:rsid w:val="004E090F"/>
    <w:rsid w:val="0051397C"/>
    <w:rsid w:val="00523D7F"/>
    <w:rsid w:val="00524B6C"/>
    <w:rsid w:val="005844D5"/>
    <w:rsid w:val="00617621"/>
    <w:rsid w:val="006733B6"/>
    <w:rsid w:val="00677067"/>
    <w:rsid w:val="006843D9"/>
    <w:rsid w:val="00685977"/>
    <w:rsid w:val="00707EF2"/>
    <w:rsid w:val="00736089"/>
    <w:rsid w:val="00746773"/>
    <w:rsid w:val="0075334C"/>
    <w:rsid w:val="00793DA5"/>
    <w:rsid w:val="007C0A70"/>
    <w:rsid w:val="007C71B7"/>
    <w:rsid w:val="007D7AF8"/>
    <w:rsid w:val="00804FFF"/>
    <w:rsid w:val="008371DA"/>
    <w:rsid w:val="00852496"/>
    <w:rsid w:val="008F3CAE"/>
    <w:rsid w:val="008F6543"/>
    <w:rsid w:val="009269A8"/>
    <w:rsid w:val="00927C10"/>
    <w:rsid w:val="0093278C"/>
    <w:rsid w:val="00974BA5"/>
    <w:rsid w:val="00987D32"/>
    <w:rsid w:val="009E528C"/>
    <w:rsid w:val="00A07D3A"/>
    <w:rsid w:val="00A1162A"/>
    <w:rsid w:val="00A52E43"/>
    <w:rsid w:val="00A6768E"/>
    <w:rsid w:val="00A87466"/>
    <w:rsid w:val="00A90209"/>
    <w:rsid w:val="00A928FB"/>
    <w:rsid w:val="00A93978"/>
    <w:rsid w:val="00AD1FB3"/>
    <w:rsid w:val="00AD30E0"/>
    <w:rsid w:val="00AE7E63"/>
    <w:rsid w:val="00B76F99"/>
    <w:rsid w:val="00B960B4"/>
    <w:rsid w:val="00BB4D2E"/>
    <w:rsid w:val="00BE050B"/>
    <w:rsid w:val="00C110DC"/>
    <w:rsid w:val="00C24AF2"/>
    <w:rsid w:val="00C620F8"/>
    <w:rsid w:val="00C6300E"/>
    <w:rsid w:val="00CC0E08"/>
    <w:rsid w:val="00CE4F50"/>
    <w:rsid w:val="00CF741C"/>
    <w:rsid w:val="00D20DFD"/>
    <w:rsid w:val="00D62E47"/>
    <w:rsid w:val="00D6469B"/>
    <w:rsid w:val="00D677C9"/>
    <w:rsid w:val="00D84AF4"/>
    <w:rsid w:val="00D9086C"/>
    <w:rsid w:val="00DC4800"/>
    <w:rsid w:val="00DC549C"/>
    <w:rsid w:val="00DE5087"/>
    <w:rsid w:val="00E0798E"/>
    <w:rsid w:val="00E12460"/>
    <w:rsid w:val="00E12B7C"/>
    <w:rsid w:val="00E31498"/>
    <w:rsid w:val="00E40FDF"/>
    <w:rsid w:val="00E62403"/>
    <w:rsid w:val="00EB04A6"/>
    <w:rsid w:val="00EE38F7"/>
    <w:rsid w:val="00F22E9F"/>
    <w:rsid w:val="00F30B3A"/>
    <w:rsid w:val="00F5143C"/>
    <w:rsid w:val="00F547E7"/>
    <w:rsid w:val="00F75D0F"/>
    <w:rsid w:val="00FC7240"/>
    <w:rsid w:val="00FE4C65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5:docId w15:val="{457C4DC9-861F-4BB2-BE04-0273BAA1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BA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974BA5"/>
    <w:pPr>
      <w:keepNext/>
      <w:widowControl/>
      <w:ind w:firstLine="720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74BA5"/>
    <w:pPr>
      <w:keepNext/>
      <w:widowControl/>
      <w:numPr>
        <w:numId w:val="15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4BA5"/>
  </w:style>
  <w:style w:type="paragraph" w:styleId="Header">
    <w:name w:val="header"/>
    <w:basedOn w:val="Normal"/>
    <w:rsid w:val="00974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B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4BA5"/>
  </w:style>
  <w:style w:type="paragraph" w:styleId="DocumentMap">
    <w:name w:val="Document Map"/>
    <w:basedOn w:val="Normal"/>
    <w:semiHidden/>
    <w:rsid w:val="00974BA5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974BA5"/>
    <w:pPr>
      <w:widowControl/>
      <w:ind w:left="3600"/>
      <w:jc w:val="both"/>
    </w:pPr>
  </w:style>
  <w:style w:type="paragraph" w:styleId="BodyText">
    <w:name w:val="Body Text"/>
    <w:basedOn w:val="Normal"/>
    <w:rsid w:val="00974BA5"/>
    <w:pPr>
      <w:spacing w:line="226" w:lineRule="auto"/>
      <w:jc w:val="both"/>
    </w:pPr>
    <w:rPr>
      <w:b/>
      <w:sz w:val="22"/>
      <w:u w:val="single"/>
    </w:rPr>
  </w:style>
  <w:style w:type="paragraph" w:styleId="BodyTextIndent2">
    <w:name w:val="Body Text Indent 2"/>
    <w:basedOn w:val="Normal"/>
    <w:rsid w:val="00974BA5"/>
    <w:pPr>
      <w:widowControl/>
      <w:tabs>
        <w:tab w:val="left" w:pos="-1440"/>
      </w:tabs>
      <w:ind w:left="1440"/>
      <w:jc w:val="both"/>
    </w:pPr>
    <w:rPr>
      <w:b/>
      <w:bCs/>
    </w:rPr>
  </w:style>
  <w:style w:type="paragraph" w:styleId="BodyTextIndent3">
    <w:name w:val="Body Text Indent 3"/>
    <w:basedOn w:val="Normal"/>
    <w:rsid w:val="00974BA5"/>
    <w:pPr>
      <w:widowControl/>
      <w:ind w:left="2880"/>
      <w:jc w:val="both"/>
    </w:pPr>
    <w:rPr>
      <w:b/>
      <w:bCs/>
    </w:rPr>
  </w:style>
  <w:style w:type="paragraph" w:customStyle="1" w:styleId="Style0">
    <w:name w:val="Style0"/>
    <w:rsid w:val="00974BA5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BodyText2">
    <w:name w:val="Body Text 2"/>
    <w:basedOn w:val="Normal"/>
    <w:rsid w:val="00974BA5"/>
    <w:pPr>
      <w:widowControl/>
      <w:autoSpaceDE w:val="0"/>
      <w:autoSpaceDN w:val="0"/>
      <w:adjustRightInd w:val="0"/>
      <w:jc w:val="both"/>
    </w:pPr>
    <w:rPr>
      <w:snapToGrid/>
      <w:color w:val="20231E"/>
    </w:rPr>
  </w:style>
  <w:style w:type="paragraph" w:styleId="BodyText3">
    <w:name w:val="Body Text 3"/>
    <w:basedOn w:val="Normal"/>
    <w:rsid w:val="00974BA5"/>
    <w:pPr>
      <w:widowControl/>
      <w:jc w:val="both"/>
    </w:pPr>
    <w:rPr>
      <w:b/>
      <w:bCs/>
      <w:i/>
      <w:iCs/>
      <w:sz w:val="28"/>
    </w:rPr>
  </w:style>
  <w:style w:type="paragraph" w:styleId="BalloonText">
    <w:name w:val="Balloon Text"/>
    <w:basedOn w:val="Normal"/>
    <w:link w:val="BalloonTextChar"/>
    <w:rsid w:val="00793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3DA5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122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26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261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2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613"/>
    <w:rPr>
      <w:b/>
      <w:bCs/>
      <w:snapToGrid w:val="0"/>
    </w:rPr>
  </w:style>
  <w:style w:type="paragraph" w:styleId="Revision">
    <w:name w:val="Revision"/>
    <w:hidden/>
    <w:uiPriority w:val="99"/>
    <w:semiHidden/>
    <w:rsid w:val="00122613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6469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44D5"/>
    <w:rPr>
      <w:snapToGrid w:val="0"/>
      <w:sz w:val="24"/>
    </w:rPr>
  </w:style>
  <w:style w:type="character" w:styleId="LineNumber">
    <w:name w:val="line number"/>
    <w:basedOn w:val="DefaultParagraphFont"/>
    <w:rsid w:val="0051397C"/>
  </w:style>
  <w:style w:type="character" w:styleId="Hyperlink">
    <w:name w:val="Hyperlink"/>
    <w:basedOn w:val="DefaultParagraphFont"/>
    <w:unhideWhenUsed/>
    <w:rsid w:val="00480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og.org/About-ACOG/News-Room/News-Releases/2015/ACOG-Strengthens-LARC-Recommend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1EEC1-F8E0-42F5-9679-D630E1F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 P&amp;P for Writing P&amp;P</vt:lpstr>
    </vt:vector>
  </TitlesOfParts>
  <Company>T.M.H.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 P&amp;P for Writing P&amp;P</dc:title>
  <dc:subject>Updated 10-10-05</dc:subject>
  <dc:creator>Owner:Mary C. Sandell/Judy Davis</dc:creator>
  <dc:description>Added HIPAA info deleted Golassary. Updated to reflect new P&amp;P processing and ratification process through OPB embracing all colleagues as authors of P&amp;Ps, managers responsible for determining level of placement and need for policy ownership.</dc:description>
  <cp:lastModifiedBy>Tyre, Kelley</cp:lastModifiedBy>
  <cp:revision>2</cp:revision>
  <cp:lastPrinted>2018-10-26T14:56:00Z</cp:lastPrinted>
  <dcterms:created xsi:type="dcterms:W3CDTF">2018-12-05T15:06:00Z</dcterms:created>
  <dcterms:modified xsi:type="dcterms:W3CDTF">2018-12-05T15:06:00Z</dcterms:modified>
  <cp:category>Admin P&amp;P</cp:category>
</cp:coreProperties>
</file>