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E7" w:rsidRDefault="00CE379C" w:rsidP="00CE379C">
      <w:pPr>
        <w:jc w:val="center"/>
      </w:pPr>
      <w:r>
        <w:rPr>
          <w:noProof/>
        </w:rPr>
        <w:drawing>
          <wp:inline distT="0" distB="0" distL="0" distR="0">
            <wp:extent cx="3055620" cy="7853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rge FPQC name and tagli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563" cy="79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79C" w:rsidRDefault="00CE379C" w:rsidP="00051DB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E379C">
        <w:rPr>
          <w:rFonts w:ascii="Arial" w:hAnsi="Arial" w:cs="Arial"/>
          <w:b/>
          <w:sz w:val="18"/>
          <w:szCs w:val="18"/>
        </w:rPr>
        <w:t>Hypertension in Pregnancy Initiative</w:t>
      </w:r>
    </w:p>
    <w:p w:rsidR="00E65B98" w:rsidRPr="00CE379C" w:rsidRDefault="00E65B98" w:rsidP="00051DB2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CE379C" w:rsidRDefault="00742B16" w:rsidP="00051DB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SUSTAINABILITY</w:t>
      </w:r>
      <w:r w:rsidR="00051DB2">
        <w:rPr>
          <w:rFonts w:ascii="Arial" w:hAnsi="Arial" w:cs="Arial"/>
          <w:b/>
          <w:sz w:val="18"/>
          <w:szCs w:val="18"/>
        </w:rPr>
        <w:t xml:space="preserve"> </w:t>
      </w:r>
      <w:r w:rsidR="00CE379C" w:rsidRPr="00CE379C">
        <w:rPr>
          <w:rFonts w:ascii="Arial" w:hAnsi="Arial" w:cs="Arial"/>
          <w:b/>
          <w:sz w:val="18"/>
          <w:szCs w:val="18"/>
        </w:rPr>
        <w:t>DATA COLLECTION FORM</w:t>
      </w:r>
    </w:p>
    <w:p w:rsidR="00E65B98" w:rsidRDefault="00E65B98" w:rsidP="00051DB2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051DB2" w:rsidRPr="00CE379C" w:rsidRDefault="00051DB2" w:rsidP="00051DB2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6745"/>
        <w:gridCol w:w="1710"/>
        <w:gridCol w:w="1350"/>
      </w:tblGrid>
      <w:tr w:rsidR="00CE379C" w:rsidRPr="0061342F" w:rsidTr="00B62D99">
        <w:trPr>
          <w:jc w:val="center"/>
        </w:trPr>
        <w:tc>
          <w:tcPr>
            <w:tcW w:w="6745" w:type="dxa"/>
          </w:tcPr>
          <w:p w:rsidR="00CE379C" w:rsidRPr="0061342F" w:rsidRDefault="00CE379C" w:rsidP="00CE379C">
            <w:pPr>
              <w:rPr>
                <w:rFonts w:ascii="Arial" w:hAnsi="Arial" w:cs="Arial"/>
                <w:sz w:val="18"/>
                <w:szCs w:val="18"/>
              </w:rPr>
            </w:pPr>
          </w:p>
          <w:p w:rsidR="00B62D99" w:rsidRDefault="00B62D99" w:rsidP="006066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Circle Time Period:</w:t>
            </w:r>
          </w:p>
          <w:p w:rsidR="00B62D99" w:rsidRDefault="00B62D99" w:rsidP="00606613">
            <w:pPr>
              <w:rPr>
                <w:rFonts w:ascii="Arial" w:hAnsi="Arial" w:cs="Arial"/>
                <w:sz w:val="18"/>
                <w:szCs w:val="18"/>
              </w:rPr>
            </w:pPr>
          </w:p>
          <w:p w:rsidR="00CE379C" w:rsidRPr="0061342F" w:rsidRDefault="00B62D99" w:rsidP="006066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July-Aug-Sept           Oct-Nov-Dec             Jan-Feb-Mar           Apr-May-June</w:t>
            </w:r>
          </w:p>
        </w:tc>
        <w:tc>
          <w:tcPr>
            <w:tcW w:w="3060" w:type="dxa"/>
            <w:gridSpan w:val="2"/>
          </w:tcPr>
          <w:p w:rsidR="00CE379C" w:rsidRPr="0061342F" w:rsidRDefault="00CE379C" w:rsidP="00CE379C">
            <w:pPr>
              <w:rPr>
                <w:rFonts w:ascii="Arial" w:hAnsi="Arial" w:cs="Arial"/>
                <w:sz w:val="18"/>
                <w:szCs w:val="18"/>
              </w:rPr>
            </w:pPr>
          </w:p>
          <w:p w:rsidR="00CE379C" w:rsidRPr="0061342F" w:rsidRDefault="00E65B98" w:rsidP="00CE37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Circle </w:t>
            </w:r>
            <w:r w:rsidR="00CE379C" w:rsidRPr="0061342F">
              <w:rPr>
                <w:rFonts w:ascii="Arial" w:hAnsi="Arial" w:cs="Arial"/>
                <w:sz w:val="18"/>
                <w:szCs w:val="18"/>
              </w:rPr>
              <w:t>Year:</w:t>
            </w:r>
            <w:r w:rsidR="00CE379C" w:rsidRPr="0061342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  <w:r w:rsidR="00606613">
              <w:rPr>
                <w:rFonts w:ascii="Arial" w:hAnsi="Arial" w:cs="Arial"/>
                <w:noProof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2017        2018</w:t>
            </w:r>
            <w:r w:rsidR="00606613">
              <w:rPr>
                <w:rFonts w:ascii="Arial" w:hAnsi="Arial" w:cs="Arial"/>
                <w:noProof/>
                <w:sz w:val="18"/>
                <w:szCs w:val="18"/>
              </w:rPr>
              <w:t xml:space="preserve">        </w:t>
            </w:r>
          </w:p>
        </w:tc>
      </w:tr>
      <w:tr w:rsidR="0061342F" w:rsidRPr="0061342F" w:rsidTr="00606613">
        <w:trPr>
          <w:jc w:val="center"/>
        </w:trPr>
        <w:tc>
          <w:tcPr>
            <w:tcW w:w="8455" w:type="dxa"/>
            <w:gridSpan w:val="2"/>
            <w:tcBorders>
              <w:top w:val="single" w:sz="12" w:space="0" w:color="auto"/>
            </w:tcBorders>
          </w:tcPr>
          <w:p w:rsidR="0061342F" w:rsidRPr="0061342F" w:rsidRDefault="0061342F" w:rsidP="0061342F">
            <w:pPr>
              <w:rPr>
                <w:rFonts w:ascii="Arial" w:hAnsi="Arial" w:cs="Arial"/>
                <w:sz w:val="18"/>
                <w:szCs w:val="18"/>
              </w:rPr>
            </w:pPr>
          </w:p>
          <w:p w:rsidR="0061342F" w:rsidRPr="0061342F" w:rsidRDefault="0061342F" w:rsidP="00606613">
            <w:pPr>
              <w:rPr>
                <w:rFonts w:ascii="Arial" w:hAnsi="Arial" w:cs="Arial"/>
                <w:sz w:val="18"/>
                <w:szCs w:val="18"/>
              </w:rPr>
            </w:pPr>
            <w:r w:rsidRPr="0061342F">
              <w:rPr>
                <w:rFonts w:ascii="Arial" w:hAnsi="Arial" w:cs="Arial"/>
                <w:sz w:val="18"/>
                <w:szCs w:val="18"/>
              </w:rPr>
              <w:t xml:space="preserve">Number of existing physicians, midwives, and nurses who completed education (this month, for the first time this year) on hypertension in pregnancy including hospital's unit-standard </w:t>
            </w:r>
            <w:r w:rsidR="00606613">
              <w:rPr>
                <w:rFonts w:ascii="Arial" w:hAnsi="Arial" w:cs="Arial"/>
                <w:sz w:val="18"/>
                <w:szCs w:val="18"/>
              </w:rPr>
              <w:t>protocol/policy</w:t>
            </w:r>
            <w:r w:rsidRPr="0061342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61342F" w:rsidRPr="0061342F" w:rsidRDefault="0061342F" w:rsidP="006134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42F" w:rsidRPr="0061342F" w:rsidTr="00606613">
        <w:trPr>
          <w:jc w:val="center"/>
        </w:trPr>
        <w:tc>
          <w:tcPr>
            <w:tcW w:w="8455" w:type="dxa"/>
            <w:gridSpan w:val="2"/>
            <w:shd w:val="clear" w:color="auto" w:fill="D9D9D9" w:themeFill="background1" w:themeFillShade="D9"/>
          </w:tcPr>
          <w:p w:rsidR="0061342F" w:rsidRDefault="0061342F" w:rsidP="0061342F">
            <w:pPr>
              <w:rPr>
                <w:rFonts w:ascii="Arial" w:hAnsi="Arial" w:cs="Arial"/>
                <w:sz w:val="18"/>
                <w:szCs w:val="18"/>
              </w:rPr>
            </w:pPr>
          </w:p>
          <w:p w:rsidR="0061342F" w:rsidRDefault="00FB6AF0" w:rsidP="00FB6AF0">
            <w:pPr>
              <w:rPr>
                <w:rFonts w:ascii="Arial" w:hAnsi="Arial" w:cs="Arial"/>
                <w:sz w:val="18"/>
                <w:szCs w:val="18"/>
              </w:rPr>
            </w:pPr>
            <w:r w:rsidRPr="00051DB2">
              <w:rPr>
                <w:rFonts w:ascii="Arial" w:hAnsi="Arial" w:cs="Arial"/>
                <w:b/>
                <w:sz w:val="18"/>
                <w:szCs w:val="18"/>
              </w:rPr>
              <w:t xml:space="preserve">CHART REVIEW                                                                  </w:t>
            </w:r>
            <w:r w:rsidR="0061342F" w:rsidRPr="0061342F">
              <w:rPr>
                <w:rFonts w:ascii="Arial" w:hAnsi="Arial" w:cs="Arial"/>
                <w:sz w:val="18"/>
                <w:szCs w:val="18"/>
              </w:rPr>
              <w:t>Number of charts reviewed</w:t>
            </w:r>
            <w:r w:rsidR="0061342F">
              <w:rPr>
                <w:rFonts w:ascii="Arial" w:hAnsi="Arial" w:cs="Arial"/>
                <w:sz w:val="18"/>
                <w:szCs w:val="18"/>
              </w:rPr>
              <w:t xml:space="preserve"> this month: </w:t>
            </w:r>
          </w:p>
          <w:p w:rsidR="0061342F" w:rsidRDefault="0061342F" w:rsidP="0061342F">
            <w:pPr>
              <w:rPr>
                <w:rFonts w:ascii="Arial" w:hAnsi="Arial" w:cs="Arial"/>
                <w:sz w:val="18"/>
                <w:szCs w:val="18"/>
              </w:rPr>
            </w:pPr>
          </w:p>
          <w:p w:rsidR="00606613" w:rsidRDefault="00606613" w:rsidP="00606613">
            <w:pPr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Pl</w:t>
            </w:r>
            <w:r w:rsidR="00E65B98">
              <w:rPr>
                <w:rFonts w:ascii="Arial" w:hAnsi="Arial" w:cs="Arial"/>
                <w:sz w:val="18"/>
                <w:szCs w:val="18"/>
              </w:rPr>
              <w:t xml:space="preserve">ease review </w:t>
            </w:r>
            <w:r w:rsidR="00E65B98" w:rsidRPr="00E65B98">
              <w:rPr>
                <w:rFonts w:ascii="Arial" w:hAnsi="Arial" w:cs="Arial"/>
                <w:b/>
                <w:sz w:val="18"/>
                <w:szCs w:val="18"/>
              </w:rPr>
              <w:t>at least the first 10</w:t>
            </w:r>
            <w:r w:rsidRPr="00606613">
              <w:rPr>
                <w:rFonts w:ascii="Arial" w:hAnsi="Arial" w:cs="Arial"/>
                <w:sz w:val="18"/>
                <w:szCs w:val="18"/>
              </w:rPr>
              <w:t xml:space="preserve"> severe hypertension cas</w:t>
            </w:r>
            <w:r>
              <w:rPr>
                <w:rFonts w:ascii="Arial" w:hAnsi="Arial" w:cs="Arial"/>
                <w:sz w:val="18"/>
                <w:szCs w:val="18"/>
              </w:rPr>
              <w:t xml:space="preserve">e charts recorded for the </w:t>
            </w:r>
            <w:r w:rsidR="00E65B98">
              <w:rPr>
                <w:rFonts w:ascii="Arial" w:hAnsi="Arial" w:cs="Arial"/>
                <w:sz w:val="18"/>
                <w:szCs w:val="18"/>
              </w:rPr>
              <w:t>Quarter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342F">
              <w:rPr>
                <w:rFonts w:ascii="Arial" w:hAnsi="Arial" w:cs="Arial"/>
                <w:sz w:val="18"/>
                <w:szCs w:val="18"/>
              </w:rPr>
              <w:t xml:space="preserve">of pregnant or postpartum (0-6 weeks) women diagnosed with persistent (twice within 15 minutes) new-onset severe hypertension (Systolic: ≥ 160 or Diastolic: ≥ 110). </w:t>
            </w:r>
          </w:p>
          <w:p w:rsidR="00606613" w:rsidRPr="00606613" w:rsidRDefault="00606613" w:rsidP="00606613">
            <w:pPr>
              <w:rPr>
                <w:rFonts w:ascii="Arial" w:hAnsi="Arial" w:cs="Arial"/>
                <w:sz w:val="18"/>
                <w:szCs w:val="18"/>
              </w:rPr>
            </w:pPr>
          </w:p>
          <w:p w:rsidR="00606613" w:rsidRPr="00606613" w:rsidRDefault="00E65B98" w:rsidP="006066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you do not have 10</w:t>
            </w:r>
            <w:r w:rsidR="00606613" w:rsidRPr="00606613">
              <w:rPr>
                <w:rFonts w:ascii="Arial" w:hAnsi="Arial" w:cs="Arial"/>
                <w:sz w:val="18"/>
                <w:szCs w:val="18"/>
              </w:rPr>
              <w:t xml:space="preserve"> cases, please review your total amount of cases and enter the number of charts reviewed in the database.</w:t>
            </w:r>
            <w:r w:rsidR="006066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6613" w:rsidRPr="00606613">
              <w:rPr>
                <w:rFonts w:ascii="Arial" w:hAnsi="Arial" w:cs="Arial"/>
                <w:sz w:val="18"/>
                <w:szCs w:val="18"/>
              </w:rPr>
              <w:t>Hospitals have the</w:t>
            </w:r>
            <w:r>
              <w:rPr>
                <w:rFonts w:ascii="Arial" w:hAnsi="Arial" w:cs="Arial"/>
                <w:sz w:val="18"/>
                <w:szCs w:val="18"/>
              </w:rPr>
              <w:t xml:space="preserve"> option of reviewing more than 10</w:t>
            </w:r>
            <w:r w:rsidR="000843B5">
              <w:rPr>
                <w:rFonts w:ascii="Arial" w:hAnsi="Arial" w:cs="Arial"/>
                <w:sz w:val="18"/>
                <w:szCs w:val="18"/>
              </w:rPr>
              <w:t xml:space="preserve"> charts.</w:t>
            </w:r>
            <w:bookmarkStart w:id="0" w:name="_GoBack"/>
            <w:bookmarkEnd w:id="0"/>
          </w:p>
          <w:p w:rsidR="00606613" w:rsidRPr="00606613" w:rsidRDefault="00606613" w:rsidP="00606613">
            <w:pPr>
              <w:rPr>
                <w:rFonts w:ascii="Arial" w:hAnsi="Arial" w:cs="Arial"/>
                <w:sz w:val="18"/>
                <w:szCs w:val="18"/>
              </w:rPr>
            </w:pPr>
          </w:p>
          <w:p w:rsidR="0061342F" w:rsidRDefault="00606613" w:rsidP="0060661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Please use two systems (coding and clinical)</w:t>
            </w:r>
            <w:r>
              <w:rPr>
                <w:rFonts w:ascii="Arial" w:hAnsi="Arial" w:cs="Arial"/>
                <w:sz w:val="18"/>
                <w:szCs w:val="18"/>
              </w:rPr>
              <w:t xml:space="preserve"> to identify a chart for review. </w:t>
            </w:r>
            <w:r w:rsidRPr="00606613">
              <w:rPr>
                <w:rFonts w:ascii="Arial" w:hAnsi="Arial" w:cs="Arial"/>
                <w:sz w:val="18"/>
                <w:szCs w:val="18"/>
                <w:u w:val="single"/>
              </w:rPr>
              <w:t>S</w:t>
            </w:r>
            <w:r w:rsidR="0061342F" w:rsidRPr="00606613">
              <w:rPr>
                <w:rFonts w:ascii="Arial" w:hAnsi="Arial" w:cs="Arial"/>
                <w:sz w:val="18"/>
                <w:szCs w:val="18"/>
                <w:u w:val="single"/>
              </w:rPr>
              <w:t>ee Inclusion/Exclusion Criteria</w:t>
            </w:r>
            <w:r w:rsidRPr="00606613">
              <w:rPr>
                <w:rFonts w:ascii="Arial" w:hAnsi="Arial" w:cs="Arial"/>
                <w:sz w:val="18"/>
                <w:szCs w:val="18"/>
                <w:u w:val="single"/>
              </w:rPr>
              <w:t>, updated to ICD-10, in</w:t>
            </w:r>
            <w:r w:rsidR="0061342F" w:rsidRPr="00606613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52067E" w:rsidRPr="00606613">
              <w:rPr>
                <w:rFonts w:ascii="Arial" w:hAnsi="Arial" w:cs="Arial"/>
                <w:sz w:val="18"/>
                <w:szCs w:val="18"/>
                <w:u w:val="single"/>
              </w:rPr>
              <w:t>Table 1</w:t>
            </w:r>
            <w:r w:rsidRPr="00606613">
              <w:rPr>
                <w:rFonts w:ascii="Arial" w:hAnsi="Arial" w:cs="Arial"/>
                <w:sz w:val="18"/>
                <w:szCs w:val="18"/>
                <w:u w:val="single"/>
              </w:rPr>
              <w:t xml:space="preserve"> below)</w:t>
            </w:r>
          </w:p>
          <w:p w:rsidR="00606613" w:rsidRPr="0061342F" w:rsidRDefault="00606613" w:rsidP="006066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61342F" w:rsidRPr="0061342F" w:rsidRDefault="0061342F" w:rsidP="006134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42F" w:rsidRPr="0061342F" w:rsidTr="00606613">
        <w:trPr>
          <w:jc w:val="center"/>
        </w:trPr>
        <w:tc>
          <w:tcPr>
            <w:tcW w:w="8455" w:type="dxa"/>
            <w:gridSpan w:val="2"/>
            <w:shd w:val="clear" w:color="auto" w:fill="D9D9D9" w:themeFill="background1" w:themeFillShade="D9"/>
          </w:tcPr>
          <w:p w:rsidR="0061342F" w:rsidRDefault="0061342F" w:rsidP="0061342F">
            <w:pPr>
              <w:rPr>
                <w:rFonts w:ascii="Arial" w:hAnsi="Arial" w:cs="Arial"/>
                <w:sz w:val="18"/>
                <w:szCs w:val="18"/>
              </w:rPr>
            </w:pPr>
          </w:p>
          <w:p w:rsidR="0061342F" w:rsidRDefault="0061342F" w:rsidP="00E65B98">
            <w:pPr>
              <w:rPr>
                <w:rFonts w:ascii="Arial" w:hAnsi="Arial" w:cs="Arial"/>
                <w:sz w:val="18"/>
                <w:szCs w:val="18"/>
              </w:rPr>
            </w:pPr>
            <w:r w:rsidRPr="0061342F">
              <w:rPr>
                <w:rFonts w:ascii="Arial" w:hAnsi="Arial" w:cs="Arial"/>
                <w:sz w:val="18"/>
                <w:szCs w:val="18"/>
              </w:rPr>
              <w:t xml:space="preserve">Number of women (in the charts reviewed) who were treated within 1 hour of first identified elevated BP.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61342F" w:rsidRPr="0061342F" w:rsidRDefault="0061342F" w:rsidP="006134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42F" w:rsidRPr="0061342F" w:rsidTr="00606613">
        <w:trPr>
          <w:jc w:val="center"/>
        </w:trPr>
        <w:tc>
          <w:tcPr>
            <w:tcW w:w="8455" w:type="dxa"/>
            <w:gridSpan w:val="2"/>
            <w:shd w:val="clear" w:color="auto" w:fill="D9D9D9" w:themeFill="background1" w:themeFillShade="D9"/>
          </w:tcPr>
          <w:p w:rsidR="0061342F" w:rsidRDefault="0061342F" w:rsidP="0061342F">
            <w:pPr>
              <w:rPr>
                <w:rFonts w:ascii="Arial" w:hAnsi="Arial" w:cs="Arial"/>
                <w:sz w:val="18"/>
                <w:szCs w:val="18"/>
              </w:rPr>
            </w:pPr>
          </w:p>
          <w:p w:rsidR="0061342F" w:rsidRDefault="0061342F" w:rsidP="0061342F">
            <w:pPr>
              <w:rPr>
                <w:rFonts w:ascii="Arial" w:hAnsi="Arial" w:cs="Arial"/>
                <w:sz w:val="18"/>
                <w:szCs w:val="18"/>
              </w:rPr>
            </w:pPr>
            <w:r w:rsidRPr="0061342F">
              <w:rPr>
                <w:rFonts w:ascii="Arial" w:hAnsi="Arial" w:cs="Arial"/>
                <w:sz w:val="18"/>
                <w:szCs w:val="18"/>
              </w:rPr>
              <w:t xml:space="preserve">Number of women (in the charts reviewed) whose </w:t>
            </w:r>
            <w:r w:rsidR="00FB6AF0">
              <w:rPr>
                <w:rFonts w:ascii="Arial" w:hAnsi="Arial" w:cs="Arial"/>
                <w:sz w:val="18"/>
                <w:szCs w:val="18"/>
              </w:rPr>
              <w:t>case was debriefed: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61342F" w:rsidRPr="0061342F" w:rsidRDefault="0061342F" w:rsidP="006134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AF0" w:rsidRPr="0061342F" w:rsidTr="00606613">
        <w:trPr>
          <w:jc w:val="center"/>
        </w:trPr>
        <w:tc>
          <w:tcPr>
            <w:tcW w:w="8455" w:type="dxa"/>
            <w:gridSpan w:val="2"/>
            <w:shd w:val="clear" w:color="auto" w:fill="D9D9D9" w:themeFill="background1" w:themeFillShade="D9"/>
          </w:tcPr>
          <w:p w:rsidR="00FB6AF0" w:rsidRDefault="00FB6AF0" w:rsidP="0061342F">
            <w:pPr>
              <w:rPr>
                <w:rFonts w:ascii="Arial" w:hAnsi="Arial" w:cs="Arial"/>
                <w:sz w:val="18"/>
                <w:szCs w:val="18"/>
              </w:rPr>
            </w:pPr>
          </w:p>
          <w:p w:rsidR="00FB6AF0" w:rsidRDefault="00FB6AF0" w:rsidP="00FB6AF0">
            <w:pPr>
              <w:rPr>
                <w:rFonts w:ascii="Arial" w:hAnsi="Arial" w:cs="Arial"/>
                <w:sz w:val="18"/>
                <w:szCs w:val="18"/>
              </w:rPr>
            </w:pPr>
            <w:r w:rsidRPr="00FB6AF0">
              <w:rPr>
                <w:rFonts w:ascii="Arial" w:hAnsi="Arial" w:cs="Arial"/>
                <w:sz w:val="18"/>
                <w:szCs w:val="18"/>
              </w:rPr>
              <w:t>Number of women (in the charts reviewed) who receive</w:t>
            </w:r>
            <w:r>
              <w:rPr>
                <w:rFonts w:ascii="Arial" w:hAnsi="Arial" w:cs="Arial"/>
                <w:sz w:val="18"/>
                <w:szCs w:val="18"/>
              </w:rPr>
              <w:t>d discharge education materials: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FB6AF0" w:rsidRPr="0061342F" w:rsidRDefault="00FB6AF0" w:rsidP="006134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AF0" w:rsidRPr="0061342F" w:rsidTr="00606613">
        <w:trPr>
          <w:jc w:val="center"/>
        </w:trPr>
        <w:tc>
          <w:tcPr>
            <w:tcW w:w="845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B6AF0" w:rsidRDefault="00FB6AF0" w:rsidP="0061342F">
            <w:pPr>
              <w:rPr>
                <w:rFonts w:ascii="Arial" w:hAnsi="Arial" w:cs="Arial"/>
                <w:sz w:val="18"/>
                <w:szCs w:val="18"/>
              </w:rPr>
            </w:pPr>
          </w:p>
          <w:p w:rsidR="00FB6AF0" w:rsidRDefault="00FB6AF0" w:rsidP="0061342F">
            <w:pPr>
              <w:rPr>
                <w:rFonts w:ascii="Arial" w:hAnsi="Arial" w:cs="Arial"/>
                <w:sz w:val="18"/>
                <w:szCs w:val="18"/>
              </w:rPr>
            </w:pPr>
            <w:r w:rsidRPr="00FB6AF0">
              <w:rPr>
                <w:rFonts w:ascii="Arial" w:hAnsi="Arial" w:cs="Arial"/>
                <w:sz w:val="18"/>
                <w:szCs w:val="18"/>
              </w:rPr>
              <w:t>Number of women (in the charts reviewed) who had follow-up appointments scheduled in appropriate timing. Appropriate timing is defined as: Follow-up appoint</w:t>
            </w:r>
            <w:r>
              <w:rPr>
                <w:rFonts w:ascii="Arial" w:hAnsi="Arial" w:cs="Arial"/>
                <w:sz w:val="18"/>
                <w:szCs w:val="18"/>
              </w:rPr>
              <w:t>ment scheduled within 7-10 days: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B6AF0" w:rsidRPr="0061342F" w:rsidRDefault="00FB6AF0" w:rsidP="006134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379C" w:rsidRDefault="00CE379C" w:rsidP="00051DB2">
      <w:pPr>
        <w:rPr>
          <w:rFonts w:ascii="Arial" w:hAnsi="Arial" w:cs="Arial"/>
          <w:b/>
          <w:sz w:val="18"/>
          <w:szCs w:val="18"/>
        </w:rPr>
      </w:pPr>
    </w:p>
    <w:p w:rsidR="00D15FBD" w:rsidRPr="00D15FBD" w:rsidRDefault="00D15FBD" w:rsidP="00051DB2">
      <w:pPr>
        <w:rPr>
          <w:rFonts w:ascii="Arial" w:hAnsi="Arial" w:cs="Arial"/>
          <w:sz w:val="18"/>
          <w:szCs w:val="18"/>
        </w:rPr>
      </w:pPr>
      <w:r w:rsidRPr="00D15FBD">
        <w:rPr>
          <w:rFonts w:ascii="Arial" w:hAnsi="Arial" w:cs="Arial"/>
          <w:sz w:val="18"/>
          <w:szCs w:val="18"/>
        </w:rPr>
        <w:t>Person collecting/entering the data:</w:t>
      </w:r>
      <w:r>
        <w:rPr>
          <w:rFonts w:ascii="Arial" w:hAnsi="Arial" w:cs="Arial"/>
          <w:sz w:val="18"/>
          <w:szCs w:val="18"/>
        </w:rPr>
        <w:t xml:space="preserve"> ____________________________________________</w:t>
      </w:r>
    </w:p>
    <w:p w:rsidR="00D15FBD" w:rsidRDefault="00D15FBD" w:rsidP="00051DB2">
      <w:pPr>
        <w:rPr>
          <w:rFonts w:ascii="Arial" w:hAnsi="Arial" w:cs="Arial"/>
          <w:b/>
          <w:sz w:val="18"/>
          <w:szCs w:val="18"/>
        </w:rPr>
      </w:pPr>
    </w:p>
    <w:p w:rsidR="0052067E" w:rsidRDefault="0052067E" w:rsidP="0052067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Table 1: Inclusion/Exclusion Criteria for Chart Review</w:t>
      </w:r>
    </w:p>
    <w:tbl>
      <w:tblPr>
        <w:tblW w:w="1017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6616"/>
        <w:gridCol w:w="2204"/>
      </w:tblGrid>
      <w:tr w:rsidR="00606613" w:rsidRPr="00606613" w:rsidTr="00606613">
        <w:trPr>
          <w:trHeight w:val="245"/>
        </w:trPr>
        <w:tc>
          <w:tcPr>
            <w:tcW w:w="1350" w:type="dxa"/>
            <w:shd w:val="clear" w:color="auto" w:fill="D0CECE" w:themeFill="background2" w:themeFillShade="E6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bCs/>
                <w:sz w:val="18"/>
                <w:szCs w:val="18"/>
              </w:rPr>
              <w:t>INCLUDE</w:t>
            </w:r>
          </w:p>
        </w:tc>
        <w:tc>
          <w:tcPr>
            <w:tcW w:w="6616" w:type="dxa"/>
            <w:shd w:val="clear" w:color="auto" w:fill="D0CECE" w:themeFill="background2" w:themeFillShade="E6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ICD – 10 Condition</w:t>
            </w:r>
          </w:p>
        </w:tc>
        <w:tc>
          <w:tcPr>
            <w:tcW w:w="2204" w:type="dxa"/>
            <w:shd w:val="clear" w:color="auto" w:fill="D0CECE" w:themeFill="background2" w:themeFillShade="E6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ICD – 10 Code</w:t>
            </w:r>
          </w:p>
        </w:tc>
      </w:tr>
      <w:tr w:rsidR="00606613" w:rsidRPr="00606613" w:rsidTr="00606613">
        <w:trPr>
          <w:trHeight w:val="164"/>
        </w:trPr>
        <w:tc>
          <w:tcPr>
            <w:tcW w:w="1350" w:type="dxa"/>
            <w:vMerge w:val="restart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bCs/>
                <w:sz w:val="18"/>
                <w:szCs w:val="18"/>
              </w:rPr>
              <w:t>Coding</w:t>
            </w:r>
          </w:p>
        </w:tc>
        <w:tc>
          <w:tcPr>
            <w:tcW w:w="6616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Severe pre-eclampsia</w:t>
            </w:r>
          </w:p>
        </w:tc>
        <w:tc>
          <w:tcPr>
            <w:tcW w:w="2204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O14.1x</w:t>
            </w:r>
          </w:p>
        </w:tc>
      </w:tr>
      <w:tr w:rsidR="00606613" w:rsidRPr="00606613" w:rsidTr="00606613">
        <w:trPr>
          <w:trHeight w:val="191"/>
        </w:trPr>
        <w:tc>
          <w:tcPr>
            <w:tcW w:w="1350" w:type="dxa"/>
            <w:vMerge/>
            <w:vAlign w:val="center"/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6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HELLP syndrome</w:t>
            </w:r>
          </w:p>
        </w:tc>
        <w:tc>
          <w:tcPr>
            <w:tcW w:w="2204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O14.2x</w:t>
            </w:r>
          </w:p>
        </w:tc>
      </w:tr>
      <w:tr w:rsidR="00606613" w:rsidRPr="00606613" w:rsidTr="00606613">
        <w:trPr>
          <w:trHeight w:val="236"/>
        </w:trPr>
        <w:tc>
          <w:tcPr>
            <w:tcW w:w="1350" w:type="dxa"/>
            <w:vMerge/>
            <w:vAlign w:val="center"/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6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Eclampsia</w:t>
            </w:r>
          </w:p>
        </w:tc>
        <w:tc>
          <w:tcPr>
            <w:tcW w:w="2204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O15</w:t>
            </w:r>
          </w:p>
        </w:tc>
      </w:tr>
      <w:tr w:rsidR="00606613" w:rsidRPr="00606613" w:rsidTr="00606613">
        <w:trPr>
          <w:trHeight w:val="272"/>
        </w:trPr>
        <w:tc>
          <w:tcPr>
            <w:tcW w:w="1350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bCs/>
                <w:sz w:val="18"/>
                <w:szCs w:val="18"/>
              </w:rPr>
              <w:t>Clinical</w:t>
            </w:r>
          </w:p>
        </w:tc>
        <w:tc>
          <w:tcPr>
            <w:tcW w:w="8820" w:type="dxa"/>
            <w:gridSpan w:val="2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Any cases identified clinically (using log books, chart review, etc.) that did not have an ICD-10 code (above)</w:t>
            </w:r>
          </w:p>
        </w:tc>
      </w:tr>
      <w:tr w:rsidR="00606613" w:rsidRPr="00606613" w:rsidTr="00606613">
        <w:trPr>
          <w:trHeight w:val="281"/>
        </w:trPr>
        <w:tc>
          <w:tcPr>
            <w:tcW w:w="1350" w:type="dxa"/>
            <w:shd w:val="clear" w:color="auto" w:fill="D0CECE" w:themeFill="background2" w:themeFillShade="E6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bCs/>
                <w:sz w:val="18"/>
                <w:szCs w:val="18"/>
              </w:rPr>
              <w:t>EXCLUDE</w:t>
            </w:r>
          </w:p>
        </w:tc>
        <w:tc>
          <w:tcPr>
            <w:tcW w:w="6616" w:type="dxa"/>
            <w:shd w:val="clear" w:color="auto" w:fill="D0CECE" w:themeFill="background2" w:themeFillShade="E6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ICD – 10 Condition</w:t>
            </w:r>
          </w:p>
        </w:tc>
        <w:tc>
          <w:tcPr>
            <w:tcW w:w="2204" w:type="dxa"/>
            <w:shd w:val="clear" w:color="auto" w:fill="D0CECE" w:themeFill="background2" w:themeFillShade="E6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ICD – 10 Code</w:t>
            </w:r>
          </w:p>
        </w:tc>
      </w:tr>
      <w:tr w:rsidR="00606613" w:rsidRPr="00606613" w:rsidTr="00606613">
        <w:trPr>
          <w:trHeight w:val="245"/>
        </w:trPr>
        <w:tc>
          <w:tcPr>
            <w:tcW w:w="1350" w:type="dxa"/>
            <w:vMerge w:val="restart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bCs/>
                <w:sz w:val="18"/>
                <w:szCs w:val="18"/>
              </w:rPr>
              <w:t>Coding</w:t>
            </w:r>
          </w:p>
        </w:tc>
        <w:tc>
          <w:tcPr>
            <w:tcW w:w="6616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 xml:space="preserve">Pre-existing hypertension complicating pregnancy, childbirth, and the puerperium </w:t>
            </w:r>
          </w:p>
        </w:tc>
        <w:tc>
          <w:tcPr>
            <w:tcW w:w="2204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O10</w:t>
            </w:r>
          </w:p>
        </w:tc>
      </w:tr>
      <w:tr w:rsidR="00606613" w:rsidRPr="00606613" w:rsidTr="00606613">
        <w:trPr>
          <w:trHeight w:val="245"/>
        </w:trPr>
        <w:tc>
          <w:tcPr>
            <w:tcW w:w="1350" w:type="dxa"/>
            <w:vMerge/>
            <w:vAlign w:val="center"/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6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Pre-existing hypertension with pre-eclampsia</w:t>
            </w:r>
          </w:p>
        </w:tc>
        <w:tc>
          <w:tcPr>
            <w:tcW w:w="2204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O11</w:t>
            </w:r>
          </w:p>
        </w:tc>
      </w:tr>
      <w:tr w:rsidR="00606613" w:rsidRPr="00606613" w:rsidTr="00606613">
        <w:trPr>
          <w:trHeight w:val="254"/>
        </w:trPr>
        <w:tc>
          <w:tcPr>
            <w:tcW w:w="1350" w:type="dxa"/>
            <w:vMerge/>
            <w:vAlign w:val="center"/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6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Gestational edema and proteinuria without hypertension</w:t>
            </w:r>
          </w:p>
        </w:tc>
        <w:tc>
          <w:tcPr>
            <w:tcW w:w="2204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012</w:t>
            </w:r>
          </w:p>
        </w:tc>
      </w:tr>
      <w:tr w:rsidR="00606613" w:rsidRPr="00606613" w:rsidTr="00606613">
        <w:trPr>
          <w:trHeight w:val="245"/>
        </w:trPr>
        <w:tc>
          <w:tcPr>
            <w:tcW w:w="1350" w:type="dxa"/>
            <w:vMerge/>
            <w:vAlign w:val="center"/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6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Gestational hypertension without significant proteinuria</w:t>
            </w:r>
          </w:p>
        </w:tc>
        <w:tc>
          <w:tcPr>
            <w:tcW w:w="2204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013</w:t>
            </w:r>
          </w:p>
        </w:tc>
      </w:tr>
      <w:tr w:rsidR="00606613" w:rsidRPr="00606613" w:rsidTr="00606613">
        <w:trPr>
          <w:trHeight w:val="245"/>
        </w:trPr>
        <w:tc>
          <w:tcPr>
            <w:tcW w:w="1350" w:type="dxa"/>
            <w:vMerge/>
            <w:vAlign w:val="center"/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6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Mild to moderate preeclampsia</w:t>
            </w:r>
          </w:p>
        </w:tc>
        <w:tc>
          <w:tcPr>
            <w:tcW w:w="2204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O14.0x</w:t>
            </w:r>
          </w:p>
        </w:tc>
      </w:tr>
      <w:tr w:rsidR="00606613" w:rsidRPr="00606613" w:rsidTr="00606613">
        <w:trPr>
          <w:trHeight w:val="245"/>
        </w:trPr>
        <w:tc>
          <w:tcPr>
            <w:tcW w:w="1350" w:type="dxa"/>
            <w:vMerge/>
            <w:vAlign w:val="center"/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6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Unspecified pre-eclampsia</w:t>
            </w:r>
          </w:p>
        </w:tc>
        <w:tc>
          <w:tcPr>
            <w:tcW w:w="2204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O14.9</w:t>
            </w:r>
          </w:p>
        </w:tc>
      </w:tr>
      <w:tr w:rsidR="00606613" w:rsidRPr="00606613" w:rsidTr="00606613">
        <w:trPr>
          <w:trHeight w:val="254"/>
        </w:trPr>
        <w:tc>
          <w:tcPr>
            <w:tcW w:w="1350" w:type="dxa"/>
            <w:vMerge/>
            <w:vAlign w:val="center"/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6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Unspecified maternal hypertension</w:t>
            </w:r>
          </w:p>
        </w:tc>
        <w:tc>
          <w:tcPr>
            <w:tcW w:w="2204" w:type="dxa"/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06613" w:rsidRPr="00606613" w:rsidRDefault="00606613" w:rsidP="006066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6613">
              <w:rPr>
                <w:rFonts w:ascii="Arial" w:hAnsi="Arial" w:cs="Arial"/>
                <w:sz w:val="18"/>
                <w:szCs w:val="18"/>
              </w:rPr>
              <w:t>O16</w:t>
            </w:r>
          </w:p>
        </w:tc>
      </w:tr>
    </w:tbl>
    <w:p w:rsidR="00D31C1A" w:rsidRDefault="00D31C1A" w:rsidP="0052067E">
      <w:pPr>
        <w:rPr>
          <w:rFonts w:ascii="Arial" w:hAnsi="Arial" w:cs="Arial"/>
          <w:b/>
          <w:sz w:val="18"/>
          <w:szCs w:val="18"/>
        </w:rPr>
      </w:pPr>
    </w:p>
    <w:sectPr w:rsidR="00D31C1A" w:rsidSect="005E06FA">
      <w:footerReference w:type="default" r:id="rId7"/>
      <w:pgSz w:w="12240" w:h="15840"/>
      <w:pgMar w:top="630" w:right="1440" w:bottom="72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B7" w:rsidRDefault="005F36B7" w:rsidP="005E06FA">
      <w:pPr>
        <w:spacing w:after="0" w:line="240" w:lineRule="auto"/>
      </w:pPr>
      <w:r>
        <w:separator/>
      </w:r>
    </w:p>
  </w:endnote>
  <w:endnote w:type="continuationSeparator" w:id="0">
    <w:p w:rsidR="005F36B7" w:rsidRDefault="005F36B7" w:rsidP="005E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783311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06FA" w:rsidRPr="005E06FA" w:rsidRDefault="00E65B98" w:rsidP="005E06FA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t>7-2017</w:t>
        </w:r>
        <w:r w:rsidR="005E06FA" w:rsidRPr="005E06FA">
          <w:rPr>
            <w:sz w:val="18"/>
            <w:szCs w:val="18"/>
          </w:rPr>
          <w:tab/>
        </w:r>
        <w:r w:rsidR="005E06FA" w:rsidRPr="005E06FA">
          <w:rPr>
            <w:sz w:val="18"/>
            <w:szCs w:val="18"/>
          </w:rPr>
          <w:tab/>
        </w:r>
      </w:p>
    </w:sdtContent>
  </w:sdt>
  <w:p w:rsidR="005E06FA" w:rsidRDefault="005E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B7" w:rsidRDefault="005F36B7" w:rsidP="005E06FA">
      <w:pPr>
        <w:spacing w:after="0" w:line="240" w:lineRule="auto"/>
      </w:pPr>
      <w:r>
        <w:separator/>
      </w:r>
    </w:p>
  </w:footnote>
  <w:footnote w:type="continuationSeparator" w:id="0">
    <w:p w:rsidR="005F36B7" w:rsidRDefault="005F36B7" w:rsidP="005E0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9C"/>
    <w:rsid w:val="00051DB2"/>
    <w:rsid w:val="000843B5"/>
    <w:rsid w:val="003917E6"/>
    <w:rsid w:val="003D0D7A"/>
    <w:rsid w:val="0052067E"/>
    <w:rsid w:val="005E06FA"/>
    <w:rsid w:val="005F36B7"/>
    <w:rsid w:val="00606613"/>
    <w:rsid w:val="0061342F"/>
    <w:rsid w:val="006B1EA8"/>
    <w:rsid w:val="00742B16"/>
    <w:rsid w:val="00917B94"/>
    <w:rsid w:val="00961CE7"/>
    <w:rsid w:val="009C4792"/>
    <w:rsid w:val="00B62D99"/>
    <w:rsid w:val="00CE379C"/>
    <w:rsid w:val="00D15FBD"/>
    <w:rsid w:val="00D31C1A"/>
    <w:rsid w:val="00E65B98"/>
    <w:rsid w:val="00FB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10ED"/>
  <w15:chartTrackingRefBased/>
  <w15:docId w15:val="{7019DBD3-6690-4423-B35B-CE67B5E9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6FA"/>
  </w:style>
  <w:style w:type="paragraph" w:styleId="Footer">
    <w:name w:val="footer"/>
    <w:basedOn w:val="Normal"/>
    <w:link w:val="FooterChar"/>
    <w:uiPriority w:val="99"/>
    <w:unhideWhenUsed/>
    <w:rsid w:val="005E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 Health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Bronson, Emily</dc:creator>
  <cp:keywords/>
  <dc:description/>
  <cp:lastModifiedBy>Bronson, Emily</cp:lastModifiedBy>
  <cp:revision>5</cp:revision>
  <dcterms:created xsi:type="dcterms:W3CDTF">2017-07-27T18:58:00Z</dcterms:created>
  <dcterms:modified xsi:type="dcterms:W3CDTF">2017-08-01T13:33:00Z</dcterms:modified>
</cp:coreProperties>
</file>